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1771" w:rsidRDefault="00CF0A2D">
      <w:pPr>
        <w:pBdr>
          <w:top w:val="nil"/>
          <w:left w:val="nil"/>
          <w:bottom w:val="nil"/>
          <w:right w:val="nil"/>
          <w:between w:val="nil"/>
        </w:pBdr>
        <w:spacing w:line="240" w:lineRule="auto"/>
        <w:ind w:left="0" w:hanging="2"/>
        <w:jc w:val="right"/>
        <w:rPr>
          <w:color w:val="000000"/>
          <w:sz w:val="16"/>
          <w:szCs w:val="16"/>
        </w:rPr>
      </w:pPr>
      <w:bookmarkStart w:id="0" w:name="_heading=h.gjdgxs" w:colFirst="0" w:colLast="0"/>
      <w:bookmarkEnd w:id="0"/>
      <w:r>
        <w:rPr>
          <w:b/>
          <w:color w:val="000000"/>
          <w:sz w:val="16"/>
          <w:szCs w:val="16"/>
        </w:rPr>
        <w:t>Приложение № 4 к</w:t>
      </w:r>
    </w:p>
    <w:p w14:paraId="00000002" w14:textId="77777777" w:rsidR="00FF1771" w:rsidRDefault="00CF0A2D">
      <w:pPr>
        <w:pBdr>
          <w:top w:val="nil"/>
          <w:left w:val="nil"/>
          <w:bottom w:val="nil"/>
          <w:right w:val="nil"/>
          <w:between w:val="nil"/>
        </w:pBdr>
        <w:spacing w:before="30" w:after="30" w:line="240" w:lineRule="auto"/>
        <w:ind w:left="0" w:hanging="2"/>
        <w:jc w:val="right"/>
        <w:rPr>
          <w:color w:val="000000"/>
          <w:sz w:val="16"/>
          <w:szCs w:val="16"/>
        </w:rPr>
      </w:pPr>
      <w:r>
        <w:rPr>
          <w:b/>
          <w:color w:val="000000"/>
          <w:sz w:val="16"/>
          <w:szCs w:val="16"/>
        </w:rPr>
        <w:t xml:space="preserve">договору о пользовании земельными участками </w:t>
      </w:r>
    </w:p>
    <w:p w14:paraId="00000003" w14:textId="77777777" w:rsidR="00FF1771" w:rsidRDefault="00CF0A2D">
      <w:pPr>
        <w:pBdr>
          <w:top w:val="nil"/>
          <w:left w:val="nil"/>
          <w:bottom w:val="nil"/>
          <w:right w:val="nil"/>
          <w:between w:val="nil"/>
        </w:pBdr>
        <w:spacing w:before="30" w:after="30" w:line="240" w:lineRule="auto"/>
        <w:ind w:left="0" w:hanging="2"/>
        <w:jc w:val="right"/>
        <w:rPr>
          <w:color w:val="000000"/>
          <w:sz w:val="16"/>
          <w:szCs w:val="16"/>
        </w:rPr>
      </w:pPr>
      <w:r>
        <w:rPr>
          <w:b/>
          <w:color w:val="000000"/>
          <w:sz w:val="16"/>
          <w:szCs w:val="16"/>
        </w:rPr>
        <w:t xml:space="preserve">и объектами инфраструктуры  </w:t>
      </w:r>
    </w:p>
    <w:p w14:paraId="00000004" w14:textId="77777777" w:rsidR="00FF1771" w:rsidRDefault="00FF1771" w:rsidP="00F96542">
      <w:pPr>
        <w:pBdr>
          <w:top w:val="nil"/>
          <w:left w:val="nil"/>
          <w:bottom w:val="nil"/>
          <w:right w:val="nil"/>
          <w:between w:val="nil"/>
        </w:pBdr>
        <w:spacing w:line="240" w:lineRule="auto"/>
        <w:ind w:left="0" w:hanging="2"/>
        <w:contextualSpacing/>
        <w:jc w:val="right"/>
        <w:rPr>
          <w:color w:val="000000"/>
          <w:sz w:val="16"/>
          <w:szCs w:val="16"/>
        </w:rPr>
      </w:pPr>
    </w:p>
    <w:p w14:paraId="00000005" w14:textId="77777777" w:rsidR="00FF1771" w:rsidRDefault="00DA58E2" w:rsidP="00F96542">
      <w:pPr>
        <w:pBdr>
          <w:top w:val="nil"/>
          <w:left w:val="nil"/>
          <w:bottom w:val="nil"/>
          <w:right w:val="nil"/>
          <w:between w:val="nil"/>
        </w:pBdr>
        <w:spacing w:line="240" w:lineRule="auto"/>
        <w:ind w:left="0" w:hanging="2"/>
        <w:contextualSpacing/>
        <w:jc w:val="center"/>
        <w:rPr>
          <w:color w:val="000000"/>
          <w:sz w:val="16"/>
          <w:szCs w:val="16"/>
        </w:rPr>
      </w:pPr>
      <w:sdt>
        <w:sdtPr>
          <w:tag w:val="goog_rdk_0"/>
          <w:id w:val="2120256616"/>
        </w:sdtPr>
        <w:sdtEndPr/>
        <w:sdtContent/>
      </w:sdt>
      <w:r w:rsidR="00CF0A2D">
        <w:rPr>
          <w:b/>
          <w:color w:val="000000"/>
          <w:sz w:val="16"/>
          <w:szCs w:val="16"/>
        </w:rPr>
        <w:t>Регламент о пользовании и инспекции</w:t>
      </w:r>
    </w:p>
    <w:p w14:paraId="00000006" w14:textId="77777777" w:rsidR="00FF1771" w:rsidRDefault="00CF0A2D" w:rsidP="00F96542">
      <w:pPr>
        <w:pBdr>
          <w:top w:val="nil"/>
          <w:left w:val="nil"/>
          <w:bottom w:val="nil"/>
          <w:right w:val="nil"/>
          <w:between w:val="nil"/>
        </w:pBdr>
        <w:spacing w:line="240" w:lineRule="auto"/>
        <w:ind w:left="0" w:hanging="2"/>
        <w:contextualSpacing/>
        <w:jc w:val="center"/>
        <w:rPr>
          <w:color w:val="000000"/>
          <w:sz w:val="16"/>
          <w:szCs w:val="16"/>
        </w:rPr>
      </w:pPr>
      <w:r>
        <w:rPr>
          <w:b/>
          <w:color w:val="000000"/>
          <w:sz w:val="16"/>
          <w:szCs w:val="16"/>
        </w:rPr>
        <w:t xml:space="preserve"> элементов внутрипоселковой дренажной системы </w:t>
      </w:r>
    </w:p>
    <w:p w14:paraId="00000007" w14:textId="77777777" w:rsidR="00FF1771" w:rsidRDefault="00CF0A2D" w:rsidP="00F96542">
      <w:pPr>
        <w:pBdr>
          <w:top w:val="nil"/>
          <w:left w:val="nil"/>
          <w:bottom w:val="nil"/>
          <w:right w:val="nil"/>
          <w:between w:val="nil"/>
        </w:pBdr>
        <w:spacing w:line="240" w:lineRule="auto"/>
        <w:ind w:left="0" w:hanging="2"/>
        <w:contextualSpacing/>
        <w:jc w:val="center"/>
        <w:rPr>
          <w:color w:val="000000"/>
          <w:sz w:val="16"/>
          <w:szCs w:val="16"/>
        </w:rPr>
      </w:pPr>
      <w:r>
        <w:rPr>
          <w:b/>
          <w:color w:val="000000"/>
          <w:sz w:val="16"/>
          <w:szCs w:val="16"/>
        </w:rPr>
        <w:t>с функцией отвода очищенных бытовых стоков</w:t>
      </w:r>
    </w:p>
    <w:p w14:paraId="00000008" w14:textId="77777777" w:rsidR="00FF1771" w:rsidRDefault="00FF1771">
      <w:pPr>
        <w:pBdr>
          <w:top w:val="nil"/>
          <w:left w:val="nil"/>
          <w:bottom w:val="nil"/>
          <w:right w:val="nil"/>
          <w:between w:val="nil"/>
        </w:pBdr>
        <w:spacing w:line="240" w:lineRule="auto"/>
        <w:ind w:left="0" w:hanging="2"/>
        <w:jc w:val="both"/>
        <w:rPr>
          <w:color w:val="000000"/>
          <w:sz w:val="16"/>
          <w:szCs w:val="16"/>
        </w:rPr>
      </w:pPr>
    </w:p>
    <w:p w14:paraId="00000009"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Настоящий Регламент о пользовании и инспекции элементов внутрипоселкой дренажной системы с функцией отвода очищенных бытовых стоков (далее – </w:t>
      </w:r>
      <w:r>
        <w:rPr>
          <w:b/>
          <w:color w:val="000000"/>
          <w:sz w:val="16"/>
          <w:szCs w:val="16"/>
        </w:rPr>
        <w:t>Регламент</w:t>
      </w:r>
      <w:r>
        <w:rPr>
          <w:color w:val="000000"/>
          <w:sz w:val="16"/>
          <w:szCs w:val="16"/>
        </w:rPr>
        <w:t xml:space="preserve">) разработан в связи с вводом в эксплуатацию единой внутрипоселковой дренажной системы типа, совмещенной с системой отвода поверхностных стоков (далее – </w:t>
      </w:r>
      <w:r>
        <w:rPr>
          <w:b/>
          <w:color w:val="000000"/>
          <w:sz w:val="16"/>
          <w:szCs w:val="16"/>
        </w:rPr>
        <w:t>«Дренажная система»</w:t>
      </w:r>
      <w:r>
        <w:rPr>
          <w:color w:val="000000"/>
          <w:sz w:val="16"/>
          <w:szCs w:val="16"/>
        </w:rPr>
        <w:t>), в целях обеспечения возможности подключения Владельца и пользования Дренажной системой, в соответствии с Договором услуг.</w:t>
      </w:r>
    </w:p>
    <w:p w14:paraId="0000000A" w14:textId="77777777" w:rsidR="00FF1771" w:rsidRDefault="00FF1771">
      <w:pPr>
        <w:pBdr>
          <w:top w:val="nil"/>
          <w:left w:val="nil"/>
          <w:bottom w:val="nil"/>
          <w:right w:val="nil"/>
          <w:between w:val="nil"/>
        </w:pBdr>
        <w:spacing w:line="240" w:lineRule="auto"/>
        <w:ind w:left="0" w:hanging="2"/>
        <w:jc w:val="both"/>
        <w:rPr>
          <w:color w:val="000000"/>
          <w:sz w:val="16"/>
          <w:szCs w:val="16"/>
        </w:rPr>
      </w:pPr>
    </w:p>
    <w:p w14:paraId="0000000B"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b/>
          <w:color w:val="000000"/>
          <w:sz w:val="16"/>
          <w:szCs w:val="16"/>
        </w:rPr>
        <w:t>1. В соответствии с Регламентом, Владелец обязуется:</w:t>
      </w:r>
    </w:p>
    <w:p w14:paraId="0000000C" w14:textId="33349B10"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1.1. Осуществлять подключение собственного Домовладения, с расположенными на нем индивидуальной дренажной системой и локальными очистными сооружениями (далее – «ЛОС») к Дренажной системе только в соответствии с Договором услуг и выданных Сервисной компанией по основании заявлению </w:t>
      </w:r>
      <w:r w:rsidR="00DA58E2">
        <w:rPr>
          <w:color w:val="000000"/>
          <w:sz w:val="16"/>
          <w:szCs w:val="16"/>
        </w:rPr>
        <w:t>Владельца технических</w:t>
      </w:r>
      <w:r>
        <w:rPr>
          <w:color w:val="000000"/>
          <w:sz w:val="16"/>
          <w:szCs w:val="16"/>
        </w:rPr>
        <w:t xml:space="preserve"> условий на подключение к внутрипоселковой дренажной системе с функцией отвода очищенных бытовых стоков.</w:t>
      </w:r>
    </w:p>
    <w:p w14:paraId="0000000D" w14:textId="5E4401C4" w:rsidR="00FF1771" w:rsidRPr="00AF54C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1.2. </w:t>
      </w:r>
      <w:r w:rsidRPr="00AF54C1">
        <w:rPr>
          <w:color w:val="000000"/>
          <w:sz w:val="16"/>
          <w:szCs w:val="16"/>
        </w:rPr>
        <w:t xml:space="preserve">Выполнять работы по подключению, указанные в п.1.1. Регламента, в присутствии представителя Сервисной компании, уполномоченного на принятие данных работ или собственника земель общего пользования и внутрипоселковых коммуникаций. Самовольное подключение (врезка) к Дренажной системе не допускается и влечет негативные последствия для Владельца, указанные в п.3.4. настоящего Регламента и раздела 10 Регламента проживания, проведения строительных работ, пользования имуществом и объектами инфраструктуры коттеджного поселка «Негород Токсово». </w:t>
      </w:r>
    </w:p>
    <w:p w14:paraId="0000000E" w14:textId="72049BE2" w:rsidR="00FF1771" w:rsidRDefault="00CF0A2D">
      <w:pPr>
        <w:pBdr>
          <w:top w:val="nil"/>
          <w:left w:val="nil"/>
          <w:bottom w:val="nil"/>
          <w:right w:val="nil"/>
          <w:between w:val="nil"/>
        </w:pBdr>
        <w:spacing w:line="240" w:lineRule="auto"/>
        <w:ind w:left="0" w:hanging="2"/>
        <w:jc w:val="both"/>
        <w:rPr>
          <w:color w:val="000000"/>
          <w:sz w:val="16"/>
          <w:szCs w:val="16"/>
        </w:rPr>
      </w:pPr>
      <w:r w:rsidRPr="00AF54C1">
        <w:rPr>
          <w:color w:val="000000"/>
          <w:sz w:val="16"/>
          <w:szCs w:val="16"/>
        </w:rPr>
        <w:t>1.3. По требованию представителей Сервисной компании либо Собственника внутрипоселковых проездов, а также объектов инфраструктуры коттеджного поселка «Негород Токсово» (далее - Собственник), предъявлять им паспорта, сертификаты и иную техническую документацию относительно установленных/устанавливаемых</w:t>
      </w:r>
      <w:r>
        <w:rPr>
          <w:color w:val="000000"/>
          <w:sz w:val="16"/>
          <w:szCs w:val="16"/>
        </w:rPr>
        <w:t xml:space="preserve"> Владельцем систем индивидуальной дренажной системы и ЛОС.</w:t>
      </w:r>
    </w:p>
    <w:p w14:paraId="0000000F"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1.4. Содержать находящееся в его собственности (согласно схеме врезки) индивидуальную дренажную систему и ЛОС в надлежащем состоянии и осуществлять все виды их ремонта за свой счет. </w:t>
      </w:r>
    </w:p>
    <w:p w14:paraId="00000010"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1.5. Не отводить иные стоки в Дренажную систему, кроме талых и ливневых вод и очищенных бытовых стоков (с помощью ЛОС), соответствующих СанПиН 2.1.5.980-00 «Гигиенические требования к охране поверхностных вод». Ответственность за соблюдение санитарных и гигиенических норм сбрасываемых стоков несет Владелец.</w:t>
      </w:r>
    </w:p>
    <w:p w14:paraId="00000011"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1.6. Не превышать очищающую способность ЛОС, указанную в технической документации на ЛОС, а также выполнять требования производителя ЛОС к их эксплуатации, в том числе менять соответствующие расходные материалы, производить чистку, ремонт или замену отдельных элементов ЛОС согласно рекомендациям производителя ЛОС.</w:t>
      </w:r>
    </w:p>
    <w:p w14:paraId="00000012"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1.7. Не допускать сброс в Дренажную систему стоков с содержащимися в них веществами, которые могут засорять и (или) оказывать разрушающее воздействие на материалы трубопроводов, колодцев, решеток, а также отлагаться на стенках трубопроводов, колодцев и других сооружениях Дренажной системы, а также негативно влиять на состояние окружающей природной среды. Не допускается сбрасывать в Дренажную систему стоки, не соответствующие, в частности СанПиН 2.1.5.980-00 «Гигиенические требования к охране поверхностных вод». В случае сброса стоков, с указанными загрязняющими веществами и (или) не соответствующими СанПиН 2.1.5.980-00 Сервисная компания/Собственник вправе отключить индивидуальную дренажную систему Владельца от Дренажной системы. </w:t>
      </w:r>
    </w:p>
    <w:p w14:paraId="00000013"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1.8. Обеспечивать беспрепятственный доступ представителей Сервисной компании/Собственника к элементам индивидуального дренажа (в том числе к инспекционным колодцам, ЛОС, дренажным трубам, приборам учета), для контроля их исправности, характеристик, пропускной способности, для проверки соблюдения условий эксплуатации, превышения предельно допустимых концентраций вредных веществ, которые могут оказать негативное влияние на целостность и (или) функционирование Дренажной системы в целом.</w:t>
      </w:r>
    </w:p>
    <w:p w14:paraId="00000014"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1.9. Не позднее, чем за 7 (семь) календарных дней до начала выполнения работ извещать Сервисную компанию/Собственника о работах, проводимых на элементах индивидуальной дренажной системы и ЛОС Домовладения Владельца, способных повлиять на объемы водоотведения и (или) функционирование Дренажной системы в целом.</w:t>
      </w:r>
    </w:p>
    <w:p w14:paraId="00000015"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1.10. Выполнять предписания Сервисной компании/Собственника по замене и (или) ремонту элементов индивидуальной дренажной системы и ЛОС Владельца, в случае их неисправности, способных повлиять на нормальную работу Дренажной системы.</w:t>
      </w:r>
    </w:p>
    <w:p w14:paraId="00000016"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1.11. Обеспечивать контроль качества воздуха в индивидуальной дренажной системе и ЛОС органолептическим методом (т.е. на основе анализа восприятий органов чувств, в частности — зрения, обоняния), для того чтобы не допускать неприятного запаха, распространяющегося на территории соседних Земельных участков, свидетельствующего о возможной неисправности ЛОС, либо нарушениях состава стоков.</w:t>
      </w:r>
    </w:p>
    <w:p w14:paraId="00000017" w14:textId="77777777" w:rsidR="00FF1771" w:rsidRDefault="00FF1771">
      <w:pPr>
        <w:pBdr>
          <w:top w:val="nil"/>
          <w:left w:val="nil"/>
          <w:bottom w:val="nil"/>
          <w:right w:val="nil"/>
          <w:between w:val="nil"/>
        </w:pBdr>
        <w:spacing w:line="240" w:lineRule="auto"/>
        <w:ind w:left="0" w:hanging="2"/>
        <w:jc w:val="both"/>
        <w:rPr>
          <w:color w:val="000000"/>
          <w:sz w:val="16"/>
          <w:szCs w:val="16"/>
        </w:rPr>
      </w:pPr>
    </w:p>
    <w:p w14:paraId="00000018"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b/>
          <w:color w:val="000000"/>
          <w:sz w:val="16"/>
          <w:szCs w:val="16"/>
        </w:rPr>
        <w:t>2. В соответствии с Регламентом Сервисная компания/Собственник обязуется:</w:t>
      </w:r>
    </w:p>
    <w:p w14:paraId="00000019"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2.1. Обеспечить прием поверхностных стоков и очищенных ЛОС бытовых стоков от Домовладения Владельца в Дренажную систему в соответствии с Договором услуг и Регламентом.</w:t>
      </w:r>
    </w:p>
    <w:p w14:paraId="0000001A"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2.2. Иные обязанности Сервисной компании/Собственника по содержанию, ремонту, эксплуатации Дренажной системы, не указанные в Регламенте, определяются Договором услуг.</w:t>
      </w:r>
    </w:p>
    <w:p w14:paraId="0000001B" w14:textId="77777777" w:rsidR="00FF1771" w:rsidRDefault="00FF1771">
      <w:pPr>
        <w:pBdr>
          <w:top w:val="nil"/>
          <w:left w:val="nil"/>
          <w:bottom w:val="nil"/>
          <w:right w:val="nil"/>
          <w:between w:val="nil"/>
        </w:pBdr>
        <w:spacing w:line="240" w:lineRule="auto"/>
        <w:ind w:left="0" w:hanging="2"/>
        <w:jc w:val="both"/>
        <w:rPr>
          <w:color w:val="000000"/>
          <w:sz w:val="16"/>
          <w:szCs w:val="16"/>
        </w:rPr>
      </w:pPr>
    </w:p>
    <w:p w14:paraId="0000001C"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b/>
          <w:color w:val="000000"/>
          <w:sz w:val="16"/>
          <w:szCs w:val="16"/>
        </w:rPr>
        <w:t>3. В соответствии с Регламентом Сервисная компания/Собственник имеет право:</w:t>
      </w:r>
    </w:p>
    <w:p w14:paraId="0000001D"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3.1. Контролировать качество поверхностных стоков и очищенных ЛОС бытовых стоков, отводимых с Домовладения Владельца в Дренажную систему, путем отбора проб из инспекционных колодцев Владельца, а также органолептическим методом. В случае выявления резкого неприятного запаха, Сервисная компания/Собственник вправе временно ограничить пользование Дренажной системой до устранения нарушения. Отбор проб проводится в присутствии Владельца или его представителя при наличии признаков возможного нарушения Регламента (в частности, зафиксированного сброса в Дренажную систему веществ, которые могут затруднить или сделать невозможной работу Дренажной системы, веществ, не соответствующих СанПиН 2.1.5.980-00 «Гигиенические требования к охране поверхностных вод», Договору услуг, а также наличие резкого неприятного запаха из инспекционных колодцев). Анализ стоков проводит независимая аккредитованная лаборатория. С результатами контрольного анализа стоков Сервисная компания/Собственник ознакамливает Владельца для принятия необходимых мер. В случае несоответствия результатов лабораторного анализа требованиям к поверхностным стокам и (или) к очищенным ЛОС бытовым стокам Домовладения Владельца, Владелец обязуется компенсировать Сервисной компании/Собственнику работы/услуги лаборатории, а также уплатить предусмотренные п.4.12. Регламента и выставленные Сервисной компанией/Собственником штрафы.</w:t>
      </w:r>
    </w:p>
    <w:p w14:paraId="0000001E"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3.2. Давать обязательные для Владельца предписания, касающиеся совершения им действий, необходимых для нормального функционирования Дренажной системы.</w:t>
      </w:r>
    </w:p>
    <w:p w14:paraId="0000001F"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3.3. Требовать от Владельца в порядке регресса в полном объеме выплаты штрафа, наложенного на Сервисную компанию/Собственника соответствующим контролирующим органом за превышение содержания вредных веществ в Дренажной системе и за иные нарушения, повлекшие наложение штрафа, а Владелец обязуется уплатить его. Причинная связь между действиями Владельца по сбросу в Дренажную систему недопустимых веществ и (или) сверх установленных пределов и за иные нарушения, повлекшие наложение штрафа,  может устанавливаться на основе взятия проб из инспекционных колодцев Владельца и составления Сервисной компанией/Собственником и Владельцем акта о выявленном нарушении, который может составляться Сервисной компанией без участия Владельца, но с привлечением к составлению третьего лица (в том числе Собственника) с приложением результатов независимой экспертизы, если Владелец отказывается от его подписания.</w:t>
      </w:r>
    </w:p>
    <w:p w14:paraId="00000020"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lastRenderedPageBreak/>
        <w:t>3.4. Требовать от Владельца, а Владелец обязуется компенсировать Сервисной компании/Собственнику стоимость работ/услуг, связанных с установлением (фиксацией) и ликвидацией последствий выявленных нарушений, совершенных Владельцем.</w:t>
      </w:r>
    </w:p>
    <w:p w14:paraId="00000021"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 Предварительно уведомив Владельца, прекратить или ограничить прием поверхностных стоков и очищенных ЛОС бытовых стоков в следующих случаях:</w:t>
      </w:r>
    </w:p>
    <w:p w14:paraId="00000022"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3.5.1. Не выполнения Технических условий подключения при подключении или отклонения от них в период пользования Дренажной системой.</w:t>
      </w:r>
    </w:p>
    <w:p w14:paraId="00000023"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3.5.2. Самовольного пользования (самовольной врезки) Дренажной системой;</w:t>
      </w:r>
    </w:p>
    <w:p w14:paraId="00000024"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3.5.3. Получения предписания или решения местных служб госсанэпиднадзора и иных контролирующих органов;         </w:t>
      </w:r>
    </w:p>
    <w:p w14:paraId="00000025"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3.5.4. Проведения работ по присоединению новых абонентов;</w:t>
      </w:r>
    </w:p>
    <w:p w14:paraId="00000026"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3.5.5. Проведения планово-предупредительного ремонта;</w:t>
      </w:r>
    </w:p>
    <w:p w14:paraId="00000027"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3.5.6. Аварийного и неудовлетворительного состояния индивидуальной дренажной системы и (или) ЛОС Владельца;</w:t>
      </w:r>
    </w:p>
    <w:p w14:paraId="00000028"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3.5.7. При неуплате Владельцем эксплуатационных и иных платежей, в случаях, установленных Договором услуг;</w:t>
      </w:r>
    </w:p>
    <w:p w14:paraId="00000029"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3.5.8. Не допуска Владельцем представителя Сервисной компании/Собственника к осмотру узлов индивидуальной дренажной системы и ЛОС Владельца (устройств, инспекционных колодцев и других элементов) для взятия проб из инспекционных колодцев и (или) на территории Домовладения, проведения натуральных замеров, выполнения других видов работ по предписанию Сервисной компании/Собственника;</w:t>
      </w:r>
    </w:p>
    <w:p w14:paraId="0000002A"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3.5.9. В случае, указанном в п.п. 1.7. и 3.1. Регламента.</w:t>
      </w:r>
    </w:p>
    <w:p w14:paraId="0000002B"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3.6. Прием поверхностных сточных вод и (или) очищенных ЛОС бытовых стоков восстанавливается после устранения Владельцем нарушений, указанных в п.п. 3.5.1., 3.5.2., 3.5.3., 3.5.6., 3.5.7., 3.5.8., 3.5.9. Регламента и компенсации Владельцем стоимости работ (услуг), выполненных Сервисной компанией по расценкам Сервисной компании и (или) оплаченных Сервисной компании третьим лицам за работы (услуги) по отключению и включению абонентских устройств и сооружений для присоединения к Дренажной системе. </w:t>
      </w:r>
    </w:p>
    <w:p w14:paraId="0000002C"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3.7. Сервисная компания/Собственник имеет право прекратить полностью или частично прием поверхностных сточных вод и (или) очищенных ЛОС бытовых стоков   без предварительного уведомления Владельца в случаях:</w:t>
      </w:r>
    </w:p>
    <w:p w14:paraId="0000002D"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3.7.1. Стихийных явлений, повлекших за собой остановку или снижение производительности сооружений Дренажной системы;</w:t>
      </w:r>
    </w:p>
    <w:p w14:paraId="0000002E"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3.7.2. Аварий на сооружениях Дренажной системы;</w:t>
      </w:r>
    </w:p>
    <w:p w14:paraId="0000002F"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3.7.3. При получении предписания или решения местных служб Госсанэпиднадзора, контролирующих и иных государственных органов.</w:t>
      </w:r>
    </w:p>
    <w:p w14:paraId="00000030" w14:textId="77777777" w:rsidR="00FF1771" w:rsidRDefault="00FF1771">
      <w:pPr>
        <w:pBdr>
          <w:top w:val="nil"/>
          <w:left w:val="nil"/>
          <w:bottom w:val="nil"/>
          <w:right w:val="nil"/>
          <w:between w:val="nil"/>
        </w:pBdr>
        <w:spacing w:line="240" w:lineRule="auto"/>
        <w:ind w:left="0" w:hanging="2"/>
        <w:jc w:val="both"/>
        <w:rPr>
          <w:color w:val="000000"/>
          <w:sz w:val="16"/>
          <w:szCs w:val="16"/>
        </w:rPr>
      </w:pPr>
    </w:p>
    <w:p w14:paraId="00000031"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b/>
          <w:color w:val="000000"/>
          <w:sz w:val="16"/>
          <w:szCs w:val="16"/>
        </w:rPr>
        <w:t>4. Ответственность за нарушение Регламента.</w:t>
      </w:r>
    </w:p>
    <w:p w14:paraId="00000032"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4.1. В случае нарушения требований, установленных Регламентом, Сервисная компания/Собственник вправе требовать:</w:t>
      </w:r>
    </w:p>
    <w:p w14:paraId="00000033" w14:textId="5E7EF05B"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4.1.1. Устранить допущенное нарушение в срок, установленный в предписании Сервисной компании/Собственника за счет собственных средств. Сервисная компания/Собственник вправе устранить нарушение своими силами, если оно не было устранено в срок, указанный в предписании, </w:t>
      </w:r>
      <w:r w:rsidR="00DA58E2">
        <w:rPr>
          <w:color w:val="000000"/>
          <w:sz w:val="16"/>
          <w:szCs w:val="16"/>
        </w:rPr>
        <w:t>а также в случае, если</w:t>
      </w:r>
      <w:r>
        <w:rPr>
          <w:color w:val="000000"/>
          <w:sz w:val="16"/>
          <w:szCs w:val="16"/>
        </w:rPr>
        <w:t xml:space="preserve"> нарушение создает угрозу жизни и здоровью, а также в случае если оно препятствует реализации прав другими Владельцами. Сервисная компания/Собственник вправе потребовать возместить ей в полном объеме расходы, понесенные при устранении нарушения;</w:t>
      </w:r>
    </w:p>
    <w:p w14:paraId="00000034"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4.1.2. Уплаты штрафа за допущенные нарушения в следующих размерах: </w:t>
      </w:r>
    </w:p>
    <w:p w14:paraId="00000035"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за первичное нарушение – предупреждение;</w:t>
      </w:r>
    </w:p>
    <w:p w14:paraId="00000036"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 за повторное – 50 МРОТ; </w:t>
      </w:r>
    </w:p>
    <w:p w14:paraId="00000037"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 за трехкратное – 100 МРОТ; </w:t>
      </w:r>
    </w:p>
    <w:p w14:paraId="00000038"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за четырехкратное и выше – 200 МРОТ.</w:t>
      </w:r>
    </w:p>
    <w:p w14:paraId="00000039"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 xml:space="preserve">- в случае повреждения имущества СК, Объектов и Земель общего имущества, или имущества Владельцев, возместить соответствующим лицам в полном объеме причиненный имущественный ущерб. </w:t>
      </w:r>
    </w:p>
    <w:p w14:paraId="0000003A" w14:textId="77777777" w:rsidR="00FF1771" w:rsidRDefault="00CF0A2D">
      <w:pPr>
        <w:pBdr>
          <w:top w:val="nil"/>
          <w:left w:val="nil"/>
          <w:bottom w:val="nil"/>
          <w:right w:val="nil"/>
          <w:between w:val="nil"/>
        </w:pBdr>
        <w:spacing w:line="240" w:lineRule="auto"/>
        <w:ind w:left="0" w:hanging="2"/>
        <w:jc w:val="both"/>
        <w:rPr>
          <w:color w:val="000000"/>
          <w:sz w:val="16"/>
          <w:szCs w:val="16"/>
        </w:rPr>
      </w:pPr>
      <w:r>
        <w:rPr>
          <w:color w:val="000000"/>
          <w:sz w:val="16"/>
          <w:szCs w:val="16"/>
        </w:rPr>
        <w:t>4.1.3. Контроль за соблюдением Регламента осуществляет Сервисная компания/Собственник или уполномоченные ими лица.</w:t>
      </w:r>
    </w:p>
    <w:p w14:paraId="0000003B" w14:textId="77777777" w:rsidR="00FF1771" w:rsidRDefault="00FF1771">
      <w:pPr>
        <w:pBdr>
          <w:top w:val="nil"/>
          <w:left w:val="nil"/>
          <w:bottom w:val="nil"/>
          <w:right w:val="nil"/>
          <w:between w:val="nil"/>
        </w:pBdr>
        <w:spacing w:line="240" w:lineRule="auto"/>
        <w:ind w:left="0" w:hanging="2"/>
        <w:jc w:val="both"/>
        <w:rPr>
          <w:color w:val="000000"/>
          <w:sz w:val="16"/>
          <w:szCs w:val="16"/>
        </w:rPr>
      </w:pPr>
    </w:p>
    <w:p w14:paraId="0000003C" w14:textId="77777777" w:rsidR="00FF1771" w:rsidRDefault="00FF1771">
      <w:pPr>
        <w:pBdr>
          <w:top w:val="nil"/>
          <w:left w:val="nil"/>
          <w:bottom w:val="nil"/>
          <w:right w:val="nil"/>
          <w:between w:val="nil"/>
        </w:pBdr>
        <w:spacing w:line="240" w:lineRule="auto"/>
        <w:ind w:left="0" w:hanging="2"/>
        <w:jc w:val="both"/>
        <w:rPr>
          <w:color w:val="000000"/>
          <w:sz w:val="16"/>
          <w:szCs w:val="16"/>
        </w:rPr>
      </w:pPr>
    </w:p>
    <w:sectPr w:rsidR="00FF1771">
      <w:pgSz w:w="11906" w:h="16838"/>
      <w:pgMar w:top="567" w:right="850"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F1771"/>
    <w:rsid w:val="00AF54C1"/>
    <w:rsid w:val="00CF0A2D"/>
    <w:rsid w:val="00DA58E2"/>
    <w:rsid w:val="00F96542"/>
    <w:rsid w:val="00FF1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3D36A-D0EB-437E-A87C-60F23682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a4">
    <w:name w:val="......."/>
    <w:basedOn w:val="a"/>
    <w:next w:val="a"/>
    <w:pPr>
      <w:autoSpaceDE w:val="0"/>
      <w:autoSpaceDN w:val="0"/>
      <w:adjustRightInd w:val="0"/>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20">
    <w:name w:val="Body Text 2"/>
    <w:basedOn w:val="a"/>
    <w:rPr>
      <w:sz w:val="26"/>
      <w:szCs w:val="20"/>
    </w:rPr>
  </w:style>
  <w:style w:type="paragraph" w:styleId="a5">
    <w:name w:val="Body Text"/>
    <w:basedOn w:val="a"/>
    <w:pPr>
      <w:spacing w:after="120"/>
    </w:pPr>
  </w:style>
  <w:style w:type="paragraph" w:styleId="a6">
    <w:name w:val="Body Text Indent"/>
    <w:basedOn w:val="a"/>
    <w:pPr>
      <w:widowControl w:val="0"/>
      <w:autoSpaceDE w:val="0"/>
      <w:autoSpaceDN w:val="0"/>
      <w:adjustRightInd w:val="0"/>
      <w:spacing w:after="120"/>
      <w:ind w:left="283"/>
    </w:pPr>
    <w:rPr>
      <w:sz w:val="20"/>
      <w:szCs w:val="20"/>
    </w:rPr>
  </w:style>
  <w:style w:type="character" w:customStyle="1" w:styleId="a7">
    <w:name w:val="Основной текст с отступом Знак"/>
    <w:basedOn w:val="a0"/>
    <w:rPr>
      <w:w w:val="100"/>
      <w:position w:val="-1"/>
      <w:effect w:val="none"/>
      <w:vertAlign w:val="baseline"/>
      <w:cs w:val="0"/>
      <w:em w:val="none"/>
    </w:rPr>
  </w:style>
  <w:style w:type="paragraph" w:styleId="a8">
    <w:name w:val="Normal (Web)"/>
    <w:basedOn w:val="a"/>
    <w:pPr>
      <w:spacing w:before="30" w:after="30"/>
    </w:pPr>
  </w:style>
  <w:style w:type="paragraph" w:styleId="a9">
    <w:name w:val="Balloon Text"/>
    <w:basedOn w:val="a"/>
    <w:rPr>
      <w:rFonts w:ascii="Tahoma" w:hAnsi="Tahoma" w:cs="Tahoma"/>
      <w:sz w:val="16"/>
      <w:szCs w:val="16"/>
    </w:rPr>
  </w:style>
  <w:style w:type="character" w:customStyle="1" w:styleId="aa">
    <w:name w:val="Текст выноски Знак"/>
    <w:rPr>
      <w:rFonts w:ascii="Tahoma" w:hAnsi="Tahoma" w:cs="Tahoma"/>
      <w:w w:val="100"/>
      <w:position w:val="-1"/>
      <w:sz w:val="16"/>
      <w:szCs w:val="16"/>
      <w:effect w:val="none"/>
      <w:vertAlign w:val="baseline"/>
      <w:cs w:val="0"/>
      <w:em w:val="none"/>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ечания Знак"/>
    <w:basedOn w:val="a0"/>
    <w:link w:val="ac"/>
    <w:uiPriority w:val="99"/>
    <w:semiHidden/>
    <w:rPr>
      <w:position w:val="-1"/>
    </w:rPr>
  </w:style>
  <w:style w:type="character" w:styleId="ae">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l9PApCZNmD3qbSfNQ+vRkWwoQQ==">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ap4ep</cp:lastModifiedBy>
  <cp:revision>5</cp:revision>
  <dcterms:created xsi:type="dcterms:W3CDTF">2022-07-26T13:04:00Z</dcterms:created>
  <dcterms:modified xsi:type="dcterms:W3CDTF">2025-09-30T11:42:00Z</dcterms:modified>
</cp:coreProperties>
</file>