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«Отрадная бухта 2.0</w:t>
      </w:r>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w:t>
      </w:r>
      <w:r>
        <w:rPr>
          <w:color w:val="000000" w:themeColor="text1"/>
          <w:sz w:val="16"/>
          <w:szCs w:val="16"/>
        </w:rPr>
        <w:t xml:space="preserve">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«Отрадная бухта 2.0».</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b/>
          <w:color w:val="000000"/>
          <w:sz w:val="16"/>
          <w:szCs w:val="16"/>
        </w:rPr>
      </w:pPr>
      <w:r>
        <w:rPr>
          <w:b/>
          <w:color w:val="000000"/>
          <w:sz w:val="16"/>
          <w:szCs w:val="16"/>
        </w:rPr>
        <w:t>Поселок/коттеджный поселок «Отрадная бухта 2.0</w:t>
      </w:r>
      <w:r>
        <w:rPr>
          <w:b/>
          <w:color w:val="000000" w:themeColor="text1"/>
          <w:sz w:val="16"/>
          <w:szCs w:val="16"/>
        </w:rPr>
        <w:t xml:space="preserve">» </w:t>
      </w:r>
      <w:r>
        <w:rPr>
          <w:color w:val="000000"/>
          <w:sz w:val="16"/>
          <w:szCs w:val="16"/>
        </w:rPr>
        <w:t>- это</w:t>
      </w:r>
      <w:r>
        <w:rPr>
          <w:color w:val="000000"/>
          <w:sz w:val="16"/>
          <w:szCs w:val="16"/>
        </w:rPr>
        <w:t xml:space="preserve">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proofErr w:type="spellStart"/>
      <w:r>
        <w:rPr>
          <w:color w:val="000000"/>
          <w:sz w:val="16"/>
          <w:szCs w:val="16"/>
        </w:rPr>
        <w:t>Приозерский</w:t>
      </w:r>
      <w:proofErr w:type="spellEnd"/>
      <w:r>
        <w:rPr>
          <w:color w:val="000000"/>
          <w:sz w:val="16"/>
          <w:szCs w:val="16"/>
        </w:rPr>
        <w:t xml:space="preserve"> район, </w:t>
      </w:r>
      <w:proofErr w:type="spellStart"/>
      <w:r>
        <w:rPr>
          <w:color w:val="000000"/>
          <w:sz w:val="16"/>
          <w:szCs w:val="16"/>
        </w:rPr>
        <w:t>Громовское</w:t>
      </w:r>
      <w:proofErr w:type="spellEnd"/>
      <w:r>
        <w:rPr>
          <w:color w:val="000000"/>
          <w:sz w:val="16"/>
          <w:szCs w:val="16"/>
        </w:rPr>
        <w:t xml:space="preserve"> сельское поселение, вблизи пос. Яблоновка</w:t>
      </w:r>
      <w:r>
        <w:rPr>
          <w:b/>
          <w:color w:val="000000"/>
          <w:sz w:val="16"/>
          <w:szCs w:val="16"/>
        </w:rPr>
        <w:t>.</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Об</w:t>
      </w:r>
      <w:r>
        <w:rPr>
          <w:b/>
          <w:color w:val="000000"/>
          <w:sz w:val="16"/>
          <w:szCs w:val="16"/>
        </w:rPr>
        <w:t xml:space="preserve">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входящие в территорию земельного массива коттеджного поселка «Отрадная бухта 2.0» 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w:t>
      </w:r>
      <w:r>
        <w:rPr>
          <w:color w:val="000000"/>
          <w:sz w:val="16"/>
          <w:szCs w:val="16"/>
        </w:rPr>
        <w:t>ами, инженерными сетями, иными сооружениями (в частности въездами, контрольно-пропускными пунктами, заборами и др.).</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земельные участки, земли, расположенные в границах территории Поселка и не являющиеся Индивидуальными участками,</w:t>
      </w:r>
      <w:r>
        <w:rPr>
          <w:color w:val="000000"/>
          <w:sz w:val="16"/>
          <w:szCs w:val="16"/>
        </w:rPr>
        <w:t xml:space="preserve"> занятые Объектами </w:t>
      </w:r>
      <w:r>
        <w:rPr>
          <w:color w:val="000000" w:themeColor="text1"/>
          <w:sz w:val="16"/>
          <w:szCs w:val="16"/>
        </w:rPr>
        <w:t>инфраструктуры, в ч</w:t>
      </w:r>
      <w:r>
        <w:rPr>
          <w:color w:val="000000"/>
          <w:sz w:val="16"/>
          <w:szCs w:val="16"/>
        </w:rPr>
        <w:t>астности, земельные участки.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w:t>
      </w:r>
      <w:r>
        <w:rPr>
          <w:color w:val="000000"/>
          <w:sz w:val="16"/>
          <w:szCs w:val="16"/>
        </w:rPr>
        <w:t xml:space="preserve">ельственном праве и предназначенный для индивидуального использования.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xml:space="preserve">–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w:t>
      </w:r>
      <w:r>
        <w:rPr>
          <w:color w:val="000000"/>
          <w:sz w:val="16"/>
          <w:szCs w:val="16"/>
        </w:rPr>
        <w:t>участок Владельца с расположенным на нем объектом незавершенного строительства.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w:t>
      </w:r>
      <w:r>
        <w:rPr>
          <w:color w:val="000000"/>
          <w:sz w:val="16"/>
          <w:szCs w:val="16"/>
        </w:rPr>
        <w:t>я и (или) пользования на земельный участок и расположенные на нем жилой дом и надворные постройки на территории коттеджного поселка «Отрадная бухта 2.0».</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w:t>
      </w:r>
      <w:r>
        <w:rPr>
          <w:color w:val="000000"/>
          <w:sz w:val="16"/>
          <w:szCs w:val="16"/>
        </w:rPr>
        <w:t xml:space="preserve">ерритории Поселка, </w:t>
      </w:r>
      <w:r>
        <w:rPr>
          <w:color w:val="000000" w:themeColor="text1"/>
          <w:sz w:val="16"/>
          <w:szCs w:val="16"/>
        </w:rPr>
        <w:t xml:space="preserve">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w:t>
      </w:r>
      <w:r>
        <w:rPr>
          <w:color w:val="000000"/>
          <w:sz w:val="16"/>
          <w:szCs w:val="16"/>
        </w:rPr>
        <w:t xml:space="preserve">разом уполномоченные руководителем СК действовать от имени СК, обеспечивающие текущую деятельность СК.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w:t>
      </w:r>
      <w:r>
        <w:rPr>
          <w:color w:val="000000"/>
          <w:sz w:val="16"/>
          <w:szCs w:val="16"/>
        </w:rPr>
        <w:t>екоммуникации,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w:t>
      </w:r>
      <w:r>
        <w:rPr>
          <w:color w:val="000000"/>
          <w:sz w:val="16"/>
          <w:szCs w:val="16"/>
        </w:rPr>
        <w:t xml:space="preserve">– часть Объектов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МРОТ </w:t>
      </w:r>
      <w:r>
        <w:rPr>
          <w:color w:val="000000"/>
          <w:sz w:val="16"/>
          <w:szCs w:val="16"/>
        </w:rPr>
        <w:t xml:space="preserve"> -</w:t>
      </w:r>
      <w:r>
        <w:rPr>
          <w:color w:val="000000"/>
          <w:sz w:val="16"/>
          <w:szCs w:val="16"/>
        </w:rPr>
        <w:t xml:space="preserve">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Pr>
          <w:color w:val="000000"/>
          <w:sz w:val="16"/>
          <w:szCs w:val="16"/>
        </w:rPr>
        <w:t>размере оплаты труда</w:t>
      </w:r>
      <w:proofErr w:type="gramEnd"/>
      <w:r>
        <w:rPr>
          <w:color w:val="000000"/>
          <w:sz w:val="16"/>
          <w:szCs w:val="16"/>
        </w:rPr>
        <w:t>» № 82-ФЗ от 19.06.2000)</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1.1. Регламент разработан в соо</w:t>
      </w:r>
      <w:r>
        <w:rPr>
          <w:color w:val="000000"/>
          <w:sz w:val="16"/>
          <w:szCs w:val="16"/>
        </w:rPr>
        <w:t xml:space="preserve">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внутрипоселковым проездам Поселка, является доку</w:t>
      </w:r>
      <w:r>
        <w:rPr>
          <w:color w:val="000000" w:themeColor="text1"/>
          <w:sz w:val="16"/>
          <w:szCs w:val="16"/>
        </w:rPr>
        <w:t>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владельцев участка при проезде на те</w:t>
      </w:r>
      <w:r>
        <w:rPr>
          <w:color w:val="000000" w:themeColor="text1"/>
          <w:sz w:val="16"/>
          <w:szCs w:val="16"/>
        </w:rPr>
        <w:t>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 на работу, и/или частные охран</w:t>
      </w:r>
      <w:r>
        <w:rPr>
          <w:color w:val="000000"/>
          <w:sz w:val="16"/>
          <w:szCs w:val="16"/>
        </w:rPr>
        <w:t xml:space="preserve">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1.4. Ответственность за обеспечение пропускного режима возлагается на сотрудников охранного предприят</w:t>
      </w:r>
      <w:r>
        <w:rPr>
          <w:color w:val="000000"/>
          <w:sz w:val="16"/>
          <w:szCs w:val="16"/>
        </w:rPr>
        <w:t>ия.</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2.1. Пропускной режим регламентирует порядок въезда (выезда) автотранспорта.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2.2. Пропускной режи</w:t>
      </w:r>
      <w:r>
        <w:rPr>
          <w:color w:val="000000"/>
          <w:sz w:val="16"/>
          <w:szCs w:val="16"/>
        </w:rPr>
        <w:t>м осуществляется через КПП (контрольно-пропускной пункт) Поселка.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(оформлению) пропуска установленного образца.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2.5. Данные правила действуют для владельцев земельных участков, имеющих договорные отношения с СК, при отсутствии задолженности </w:t>
      </w:r>
      <w:r>
        <w:rPr>
          <w:color w:val="000000"/>
          <w:sz w:val="16"/>
          <w:szCs w:val="16"/>
        </w:rPr>
        <w:t>по договору услуг.</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2.6. </w:t>
      </w:r>
      <w:r>
        <w:rPr>
          <w:color w:val="000000" w:themeColor="text1"/>
          <w:sz w:val="16"/>
          <w:szCs w:val="16"/>
        </w:rPr>
        <w:t xml:space="preserve">Проезд на территорию поселка осуществляется через КПП. </w:t>
      </w:r>
    </w:p>
    <w:p w:rsidR="00AD03E4" w:rsidRDefault="00A44E17">
      <w:pPr>
        <w:tabs>
          <w:tab w:val="left" w:pos="426"/>
        </w:tabs>
        <w:ind w:left="0" w:hanging="2"/>
        <w:jc w:val="both"/>
        <w:rPr>
          <w:color w:val="000000"/>
          <w:sz w:val="16"/>
          <w:szCs w:val="16"/>
        </w:rPr>
      </w:pPr>
      <w:r>
        <w:rPr>
          <w:color w:val="000000" w:themeColor="text1"/>
          <w:sz w:val="16"/>
          <w:szCs w:val="16"/>
        </w:rPr>
        <w:t>Документами на право проезда легковых автомобилей в Поселок являются:</w:t>
      </w:r>
    </w:p>
    <w:p w:rsidR="00AD03E4" w:rsidRDefault="00A44E17">
      <w:pPr>
        <w:tabs>
          <w:tab w:val="left" w:pos="426"/>
        </w:tabs>
        <w:ind w:left="0" w:hanging="2"/>
        <w:jc w:val="both"/>
        <w:rPr>
          <w:color w:val="000000"/>
          <w:sz w:val="16"/>
          <w:szCs w:val="16"/>
        </w:rPr>
      </w:pPr>
      <w:r>
        <w:rPr>
          <w:color w:val="000000" w:themeColor="text1"/>
          <w:sz w:val="16"/>
          <w:szCs w:val="16"/>
        </w:rPr>
        <w:t xml:space="preserve">– </w:t>
      </w:r>
      <w:r>
        <w:rPr>
          <w:b/>
          <w:bCs/>
          <w:color w:val="000000" w:themeColor="text1"/>
          <w:sz w:val="16"/>
          <w:szCs w:val="16"/>
        </w:rPr>
        <w:t xml:space="preserve">пропуска вида «Д» </w:t>
      </w:r>
      <w:r>
        <w:rPr>
          <w:color w:val="000000" w:themeColor="text1"/>
          <w:sz w:val="16"/>
          <w:szCs w:val="16"/>
        </w:rPr>
        <w:t>– постоянные пропуска для Владельцев и членов их семей, действующие бессрочно;</w:t>
      </w:r>
    </w:p>
    <w:p w:rsidR="00AD03E4" w:rsidRDefault="00A44E17">
      <w:pPr>
        <w:tabs>
          <w:tab w:val="left" w:pos="426"/>
        </w:tabs>
        <w:ind w:left="0" w:hanging="2"/>
        <w:jc w:val="both"/>
        <w:rPr>
          <w:color w:val="000000"/>
          <w:sz w:val="16"/>
          <w:szCs w:val="16"/>
        </w:rPr>
      </w:pPr>
      <w:r>
        <w:rPr>
          <w:color w:val="000000" w:themeColor="text1"/>
          <w:sz w:val="16"/>
          <w:szCs w:val="16"/>
        </w:rPr>
        <w:t xml:space="preserve">– </w:t>
      </w:r>
      <w:r>
        <w:rPr>
          <w:b/>
          <w:bCs/>
          <w:color w:val="000000" w:themeColor="text1"/>
          <w:sz w:val="16"/>
          <w:szCs w:val="16"/>
        </w:rPr>
        <w:t>пропу</w:t>
      </w:r>
      <w:r>
        <w:rPr>
          <w:b/>
          <w:bCs/>
          <w:color w:val="000000" w:themeColor="text1"/>
          <w:sz w:val="16"/>
          <w:szCs w:val="16"/>
        </w:rPr>
        <w:t>ска вида «</w:t>
      </w:r>
      <w:proofErr w:type="gramStart"/>
      <w:r>
        <w:rPr>
          <w:b/>
          <w:bCs/>
          <w:color w:val="000000" w:themeColor="text1"/>
          <w:sz w:val="16"/>
          <w:szCs w:val="16"/>
        </w:rPr>
        <w:t>В</w:t>
      </w:r>
      <w:proofErr w:type="gramEnd"/>
      <w:r>
        <w:rPr>
          <w:b/>
          <w:bCs/>
          <w:color w:val="000000" w:themeColor="text1"/>
          <w:sz w:val="16"/>
          <w:szCs w:val="16"/>
        </w:rPr>
        <w:t xml:space="preserve">» </w:t>
      </w:r>
      <w:r>
        <w:rPr>
          <w:color w:val="000000" w:themeColor="text1"/>
          <w:sz w:val="16"/>
          <w:szCs w:val="16"/>
        </w:rPr>
        <w:t>– временные пропуска для гостей Владельцев, обслуживающего персонала, подрядчиков и прочих лиц, выдаваемые на срок до шести месяцев;</w:t>
      </w:r>
    </w:p>
    <w:p w:rsidR="00AD03E4" w:rsidRDefault="00A44E17">
      <w:pPr>
        <w:tabs>
          <w:tab w:val="left" w:pos="426"/>
        </w:tabs>
        <w:ind w:left="0" w:hanging="2"/>
        <w:jc w:val="both"/>
        <w:rPr>
          <w:color w:val="000000"/>
          <w:sz w:val="16"/>
          <w:szCs w:val="16"/>
        </w:rPr>
      </w:pPr>
      <w:r>
        <w:rPr>
          <w:color w:val="000000" w:themeColor="text1"/>
          <w:sz w:val="16"/>
          <w:szCs w:val="16"/>
        </w:rPr>
        <w:t xml:space="preserve">– </w:t>
      </w:r>
      <w:r>
        <w:rPr>
          <w:b/>
          <w:bCs/>
          <w:color w:val="000000" w:themeColor="text1"/>
          <w:sz w:val="16"/>
          <w:szCs w:val="16"/>
        </w:rPr>
        <w:t xml:space="preserve">пропуска вида «Р» </w:t>
      </w:r>
      <w:r>
        <w:rPr>
          <w:color w:val="000000" w:themeColor="text1"/>
          <w:sz w:val="16"/>
          <w:szCs w:val="16"/>
        </w:rPr>
        <w:t xml:space="preserve">– разовые пропуска для всех категорий, на срок не более суток, выдаваемые непосредственно </w:t>
      </w:r>
      <w:r>
        <w:rPr>
          <w:color w:val="000000" w:themeColor="text1"/>
          <w:sz w:val="16"/>
          <w:szCs w:val="16"/>
        </w:rPr>
        <w:t>на КПП при въезде и изымаемые при выезде.</w:t>
      </w:r>
    </w:p>
    <w:p w:rsidR="00AD03E4" w:rsidRDefault="00AD03E4">
      <w:pPr>
        <w:tabs>
          <w:tab w:val="left" w:pos="426"/>
        </w:tabs>
        <w:ind w:left="0" w:hanging="2"/>
        <w:jc w:val="center"/>
        <w:rPr>
          <w:b/>
          <w:bCs/>
          <w:i/>
          <w:iCs/>
          <w:color w:val="000000" w:themeColor="text1"/>
          <w:sz w:val="16"/>
          <w:szCs w:val="16"/>
        </w:rPr>
      </w:pPr>
    </w:p>
    <w:p w:rsidR="00AD03E4" w:rsidRDefault="00A44E17">
      <w:pPr>
        <w:tabs>
          <w:tab w:val="left" w:pos="426"/>
        </w:tabs>
        <w:ind w:left="0" w:hanging="2"/>
        <w:jc w:val="center"/>
        <w:rPr>
          <w:b/>
          <w:bCs/>
          <w:i/>
          <w:iCs/>
          <w:color w:val="000000"/>
          <w:sz w:val="16"/>
          <w:szCs w:val="16"/>
        </w:rPr>
      </w:pPr>
      <w:r>
        <w:rPr>
          <w:b/>
          <w:bCs/>
          <w:i/>
          <w:iCs/>
          <w:color w:val="000000" w:themeColor="text1"/>
          <w:sz w:val="16"/>
          <w:szCs w:val="16"/>
        </w:rPr>
        <w:t>Пропуска вида «Д»</w:t>
      </w:r>
    </w:p>
    <w:p w:rsidR="00AD03E4" w:rsidRDefault="00A44E17">
      <w:pPr>
        <w:tabs>
          <w:tab w:val="left" w:pos="426"/>
        </w:tabs>
        <w:ind w:left="0" w:hanging="2"/>
        <w:jc w:val="center"/>
        <w:rPr>
          <w:b/>
          <w:bCs/>
          <w:i/>
          <w:iCs/>
          <w:color w:val="000000"/>
          <w:sz w:val="16"/>
          <w:szCs w:val="16"/>
        </w:rPr>
      </w:pPr>
      <w:r>
        <w:rPr>
          <w:b/>
          <w:bCs/>
          <w:i/>
          <w:iCs/>
          <w:color w:val="000000" w:themeColor="text1"/>
          <w:sz w:val="16"/>
          <w:szCs w:val="16"/>
        </w:rPr>
        <w:t xml:space="preserve">(Постоянные пропуска для Владельцев) </w:t>
      </w:r>
    </w:p>
    <w:p w:rsidR="00AD03E4" w:rsidRDefault="00A44E17">
      <w:pPr>
        <w:tabs>
          <w:tab w:val="left" w:pos="426"/>
        </w:tabs>
        <w:ind w:left="0" w:hanging="2"/>
        <w:jc w:val="both"/>
        <w:rPr>
          <w:b/>
          <w:bCs/>
          <w:i/>
          <w:iCs/>
          <w:color w:val="000000"/>
          <w:sz w:val="16"/>
          <w:szCs w:val="16"/>
        </w:rPr>
      </w:pPr>
      <w:r>
        <w:rPr>
          <w:b/>
          <w:bCs/>
          <w:i/>
          <w:iCs/>
          <w:color w:val="000000" w:themeColor="text1"/>
          <w:sz w:val="16"/>
          <w:szCs w:val="16"/>
        </w:rPr>
        <w:t xml:space="preserve"> </w:t>
      </w:r>
    </w:p>
    <w:p w:rsidR="00AD03E4" w:rsidRDefault="00A44E17">
      <w:pPr>
        <w:tabs>
          <w:tab w:val="left" w:pos="426"/>
        </w:tabs>
        <w:ind w:left="0" w:hanging="2"/>
        <w:jc w:val="both"/>
        <w:rPr>
          <w:color w:val="000000"/>
          <w:sz w:val="16"/>
          <w:szCs w:val="16"/>
        </w:rPr>
      </w:pPr>
      <w:r>
        <w:rPr>
          <w:color w:val="000000" w:themeColor="text1"/>
          <w:sz w:val="16"/>
          <w:szCs w:val="16"/>
        </w:rPr>
        <w:lastRenderedPageBreak/>
        <w:t xml:space="preserve">2.6.1 Пропуска вида «Д» предназначены </w:t>
      </w:r>
      <w:r>
        <w:rPr>
          <w:b/>
          <w:bCs/>
          <w:color w:val="000000" w:themeColor="text1"/>
          <w:sz w:val="16"/>
          <w:szCs w:val="16"/>
        </w:rPr>
        <w:t>только для автомашин Владельцев и членов их семей</w:t>
      </w:r>
      <w:r>
        <w:rPr>
          <w:color w:val="000000" w:themeColor="text1"/>
          <w:sz w:val="16"/>
          <w:szCs w:val="16"/>
        </w:rPr>
        <w:t>. Количество выдаваемых Владельцу пропусков определяется в соответствии с письменной заявкой на имя руководителя СК.</w:t>
      </w:r>
    </w:p>
    <w:p w:rsidR="00AD03E4" w:rsidRDefault="00A44E17">
      <w:pPr>
        <w:tabs>
          <w:tab w:val="left" w:pos="426"/>
        </w:tabs>
        <w:ind w:left="0" w:hanging="2"/>
        <w:jc w:val="both"/>
        <w:rPr>
          <w:color w:val="000000"/>
          <w:sz w:val="16"/>
          <w:szCs w:val="16"/>
        </w:rPr>
      </w:pPr>
      <w:r>
        <w:rPr>
          <w:color w:val="000000" w:themeColor="text1"/>
          <w:sz w:val="16"/>
          <w:szCs w:val="16"/>
        </w:rPr>
        <w:t>В пропуске вида «Д» должна быть фотография 3*4, фамилия, имя, отчество, дата рождения носителя пропуска, номер земельного участка Владельца</w:t>
      </w:r>
      <w:r>
        <w:rPr>
          <w:color w:val="000000" w:themeColor="text1"/>
          <w:sz w:val="16"/>
          <w:szCs w:val="16"/>
        </w:rPr>
        <w:t xml:space="preserve">. </w:t>
      </w:r>
    </w:p>
    <w:p w:rsidR="00AD03E4" w:rsidRDefault="00A44E17">
      <w:pPr>
        <w:tabs>
          <w:tab w:val="left" w:pos="426"/>
        </w:tabs>
        <w:ind w:left="0" w:hanging="2"/>
        <w:jc w:val="both"/>
        <w:rPr>
          <w:color w:val="000000"/>
          <w:sz w:val="16"/>
          <w:szCs w:val="16"/>
        </w:rPr>
      </w:pPr>
      <w:r>
        <w:rPr>
          <w:color w:val="000000" w:themeColor="text1"/>
          <w:sz w:val="16"/>
          <w:szCs w:val="16"/>
        </w:rPr>
        <w:t>Запись о выдаче пропуска вида «Д» заносится в книгу учета выдачи пропусков вида «Д» и хранится в деле (папке) с заявками на выдачу пропусков вида «Д». Бесплатно выдается не более 4 (четырех) пропусков вида «Д» на одно Домовладение. Постоянный пропуск не</w:t>
      </w:r>
      <w:r>
        <w:rPr>
          <w:color w:val="000000" w:themeColor="text1"/>
          <w:sz w:val="16"/>
          <w:szCs w:val="16"/>
        </w:rPr>
        <w:t xml:space="preserve"> имеет срока действия. Такой пропуск изымается в случае продажи Владельцем своего Земельного участка и/или объектов недвижимости, расположенных на нем. </w:t>
      </w:r>
    </w:p>
    <w:p w:rsidR="00AD03E4" w:rsidRDefault="00A44E17">
      <w:pPr>
        <w:tabs>
          <w:tab w:val="left" w:pos="426"/>
        </w:tabs>
        <w:ind w:left="0" w:hanging="2"/>
        <w:jc w:val="both"/>
        <w:rPr>
          <w:color w:val="000000"/>
          <w:sz w:val="16"/>
          <w:szCs w:val="16"/>
        </w:rPr>
      </w:pPr>
      <w:r>
        <w:rPr>
          <w:color w:val="000000" w:themeColor="text1"/>
          <w:sz w:val="16"/>
          <w:szCs w:val="16"/>
        </w:rPr>
        <w:t>Пропуск рекомендуется закреплять на лобовом стекле транспортного средства с правой стороны, чтобы он ле</w:t>
      </w:r>
      <w:r>
        <w:rPr>
          <w:color w:val="000000" w:themeColor="text1"/>
          <w:sz w:val="16"/>
          <w:szCs w:val="16"/>
        </w:rPr>
        <w:t>гко читался при проезде автомобилем КПП, либо предъявляться непосредственно охраннику для идентификации автомобиля.</w:t>
      </w:r>
    </w:p>
    <w:p w:rsidR="00AD03E4" w:rsidRDefault="00A44E17">
      <w:pPr>
        <w:tabs>
          <w:tab w:val="left" w:pos="426"/>
        </w:tabs>
        <w:ind w:left="0" w:hanging="2"/>
        <w:jc w:val="both"/>
        <w:rPr>
          <w:color w:val="000000"/>
          <w:sz w:val="16"/>
          <w:szCs w:val="16"/>
        </w:rPr>
      </w:pPr>
      <w:r>
        <w:rPr>
          <w:color w:val="000000" w:themeColor="text1"/>
          <w:sz w:val="16"/>
          <w:szCs w:val="16"/>
        </w:rPr>
        <w:t xml:space="preserve">Постоянный пропуск не оформляется при наличии у Владельца задолженности перед Сервисной компанией более 2 месяцев. </w:t>
      </w:r>
    </w:p>
    <w:p w:rsidR="00AD03E4" w:rsidRDefault="00AD03E4">
      <w:pPr>
        <w:tabs>
          <w:tab w:val="left" w:pos="426"/>
        </w:tabs>
        <w:ind w:left="0" w:hanging="2"/>
        <w:jc w:val="both"/>
        <w:rPr>
          <w:color w:val="000000"/>
          <w:sz w:val="16"/>
          <w:szCs w:val="16"/>
        </w:rPr>
      </w:pPr>
    </w:p>
    <w:p w:rsidR="00AD03E4" w:rsidRDefault="00A44E17">
      <w:pPr>
        <w:tabs>
          <w:tab w:val="left" w:pos="426"/>
        </w:tabs>
        <w:ind w:left="0" w:hanging="2"/>
        <w:jc w:val="center"/>
        <w:rPr>
          <w:b/>
          <w:bCs/>
          <w:i/>
          <w:iCs/>
          <w:color w:val="000000"/>
          <w:sz w:val="16"/>
          <w:szCs w:val="16"/>
        </w:rPr>
      </w:pPr>
      <w:r>
        <w:rPr>
          <w:b/>
          <w:bCs/>
          <w:i/>
          <w:iCs/>
          <w:color w:val="000000" w:themeColor="text1"/>
          <w:sz w:val="16"/>
          <w:szCs w:val="16"/>
        </w:rPr>
        <w:t>Пропуска вида «В»</w:t>
      </w:r>
    </w:p>
    <w:p w:rsidR="00AD03E4" w:rsidRDefault="00A44E17">
      <w:pPr>
        <w:tabs>
          <w:tab w:val="left" w:pos="426"/>
        </w:tabs>
        <w:ind w:left="0" w:hanging="2"/>
        <w:jc w:val="center"/>
        <w:rPr>
          <w:b/>
          <w:bCs/>
          <w:i/>
          <w:iCs/>
          <w:color w:val="000000"/>
          <w:sz w:val="16"/>
          <w:szCs w:val="16"/>
        </w:rPr>
      </w:pPr>
      <w:r>
        <w:rPr>
          <w:b/>
          <w:bCs/>
          <w:i/>
          <w:iCs/>
          <w:color w:val="000000" w:themeColor="text1"/>
          <w:sz w:val="16"/>
          <w:szCs w:val="16"/>
        </w:rPr>
        <w:t xml:space="preserve">Временные пропуска </w:t>
      </w:r>
    </w:p>
    <w:p w:rsidR="00AD03E4" w:rsidRDefault="00A44E17">
      <w:pPr>
        <w:tabs>
          <w:tab w:val="left" w:pos="426"/>
        </w:tabs>
        <w:ind w:left="0" w:hanging="2"/>
        <w:jc w:val="both"/>
        <w:rPr>
          <w:b/>
          <w:bCs/>
          <w:i/>
          <w:iCs/>
          <w:color w:val="000000"/>
          <w:sz w:val="16"/>
          <w:szCs w:val="16"/>
        </w:rPr>
      </w:pPr>
      <w:r>
        <w:rPr>
          <w:b/>
          <w:bCs/>
          <w:i/>
          <w:iCs/>
          <w:color w:val="000000" w:themeColor="text1"/>
          <w:sz w:val="16"/>
          <w:szCs w:val="16"/>
        </w:rPr>
        <w:t xml:space="preserve"> </w:t>
      </w:r>
    </w:p>
    <w:p w:rsidR="00AD03E4" w:rsidRDefault="00A44E17">
      <w:pPr>
        <w:tabs>
          <w:tab w:val="left" w:pos="426"/>
        </w:tabs>
        <w:ind w:left="0" w:hanging="2"/>
        <w:jc w:val="both"/>
        <w:rPr>
          <w:color w:val="000000"/>
          <w:sz w:val="16"/>
          <w:szCs w:val="16"/>
        </w:rPr>
      </w:pPr>
      <w:r>
        <w:rPr>
          <w:color w:val="000000" w:themeColor="text1"/>
          <w:sz w:val="16"/>
          <w:szCs w:val="16"/>
        </w:rPr>
        <w:t>2.6.2. Пропуска вида «В» предназначены для гостей, обслуживающего персонала, подрядчиков и прочих лиц, приглашенных либо нанятых Владельцами на длительный срок.</w:t>
      </w:r>
    </w:p>
    <w:p w:rsidR="00AD03E4" w:rsidRDefault="00A44E17">
      <w:pPr>
        <w:tabs>
          <w:tab w:val="left" w:pos="426"/>
        </w:tabs>
        <w:ind w:left="0" w:hanging="2"/>
        <w:jc w:val="both"/>
        <w:rPr>
          <w:color w:val="000000"/>
          <w:sz w:val="16"/>
          <w:szCs w:val="16"/>
        </w:rPr>
      </w:pPr>
      <w:r>
        <w:rPr>
          <w:color w:val="000000" w:themeColor="text1"/>
          <w:sz w:val="16"/>
          <w:szCs w:val="16"/>
        </w:rPr>
        <w:t>Временные пропуска выдаются на основании письменной заявки Владельца на и</w:t>
      </w:r>
      <w:r>
        <w:rPr>
          <w:color w:val="000000" w:themeColor="text1"/>
          <w:sz w:val="16"/>
          <w:szCs w:val="16"/>
        </w:rPr>
        <w:t>мя руководителя СК.</w:t>
      </w:r>
    </w:p>
    <w:p w:rsidR="00AD03E4" w:rsidRDefault="00A44E17">
      <w:pPr>
        <w:tabs>
          <w:tab w:val="left" w:pos="426"/>
        </w:tabs>
        <w:ind w:left="0" w:hanging="2"/>
        <w:jc w:val="both"/>
        <w:rPr>
          <w:color w:val="000000"/>
          <w:sz w:val="16"/>
          <w:szCs w:val="16"/>
        </w:rPr>
      </w:pPr>
      <w:r>
        <w:rPr>
          <w:color w:val="000000" w:themeColor="text1"/>
          <w:sz w:val="16"/>
          <w:szCs w:val="16"/>
        </w:rPr>
        <w:t xml:space="preserve">В заявлении  должны быть указаны реквизиты транспортного средства или реквизиты организации, транспортным средствам которой необходим доступ на территории Поселка. </w:t>
      </w:r>
    </w:p>
    <w:p w:rsidR="00AD03E4" w:rsidRDefault="00A44E17">
      <w:pPr>
        <w:tabs>
          <w:tab w:val="left" w:pos="426"/>
        </w:tabs>
        <w:ind w:left="0" w:hanging="2"/>
        <w:jc w:val="both"/>
        <w:rPr>
          <w:color w:val="000000"/>
          <w:sz w:val="16"/>
          <w:szCs w:val="16"/>
        </w:rPr>
      </w:pPr>
      <w:r>
        <w:rPr>
          <w:color w:val="000000" w:themeColor="text1"/>
          <w:sz w:val="16"/>
          <w:szCs w:val="16"/>
        </w:rPr>
        <w:t>Владельцу одновременно может быть выдано не более четырех временных про</w:t>
      </w:r>
      <w:r>
        <w:rPr>
          <w:color w:val="000000" w:themeColor="text1"/>
          <w:sz w:val="16"/>
          <w:szCs w:val="16"/>
        </w:rPr>
        <w:t>пусков. Соответствующая информация о владельце транспортного средства и/или государственный номер, марка машины и номер Индивидуального участка, на который оформляется автомобиль, заносится в книгу учета выдачи временных пропусков вида «В» и хранится в дел</w:t>
      </w:r>
      <w:r>
        <w:rPr>
          <w:color w:val="000000" w:themeColor="text1"/>
          <w:sz w:val="16"/>
          <w:szCs w:val="16"/>
        </w:rPr>
        <w:t>е (папке) с заявками на выдачу пропусков вида «В». Срок действия пропуска ограничен тремя месяцами с момента выдачи. Также как и пропуск вида «Д», временный пропуск может быть закреплен на лобовом стекле транспортного средства с правой стороны, чтобы он ле</w:t>
      </w:r>
      <w:r>
        <w:rPr>
          <w:color w:val="000000" w:themeColor="text1"/>
          <w:sz w:val="16"/>
          <w:szCs w:val="16"/>
        </w:rPr>
        <w:t>гко читался при проезде автомобилем КПП, либо предъявляться непосредственно охраннику для идентификации автомобиля, либо, в случае электронного пропуска, подносится к считывающему устройству на КПП.</w:t>
      </w:r>
    </w:p>
    <w:p w:rsidR="00AD03E4" w:rsidRDefault="00A44E17">
      <w:pPr>
        <w:tabs>
          <w:tab w:val="left" w:pos="426"/>
        </w:tabs>
        <w:ind w:left="0" w:hanging="2"/>
        <w:jc w:val="both"/>
        <w:rPr>
          <w:color w:val="000000"/>
          <w:sz w:val="16"/>
          <w:szCs w:val="16"/>
        </w:rPr>
      </w:pPr>
      <w:r>
        <w:rPr>
          <w:color w:val="000000" w:themeColor="text1"/>
          <w:sz w:val="16"/>
          <w:szCs w:val="16"/>
        </w:rPr>
        <w:t xml:space="preserve">Временный пропуск не оформляется при наличии у Владельца </w:t>
      </w:r>
      <w:r>
        <w:rPr>
          <w:color w:val="000000" w:themeColor="text1"/>
          <w:sz w:val="16"/>
          <w:szCs w:val="16"/>
        </w:rPr>
        <w:t>задолженности перед Сервисной компанией более 2 месяцев.</w:t>
      </w:r>
    </w:p>
    <w:p w:rsidR="00AD03E4" w:rsidRDefault="00AD03E4">
      <w:pPr>
        <w:tabs>
          <w:tab w:val="left" w:pos="426"/>
          <w:tab w:val="left" w:pos="3882"/>
          <w:tab w:val="center" w:pos="5103"/>
        </w:tabs>
        <w:ind w:left="0" w:hanging="2"/>
        <w:jc w:val="center"/>
        <w:rPr>
          <w:b/>
          <w:bCs/>
          <w:i/>
          <w:iCs/>
          <w:sz w:val="16"/>
          <w:szCs w:val="16"/>
        </w:rPr>
      </w:pPr>
    </w:p>
    <w:p w:rsidR="00AD03E4" w:rsidRDefault="00A44E17">
      <w:pPr>
        <w:tabs>
          <w:tab w:val="left" w:pos="426"/>
          <w:tab w:val="left" w:pos="3882"/>
          <w:tab w:val="center" w:pos="5103"/>
        </w:tabs>
        <w:ind w:left="0" w:hanging="2"/>
        <w:jc w:val="center"/>
        <w:rPr>
          <w:b/>
          <w:bCs/>
          <w:i/>
          <w:iCs/>
          <w:sz w:val="16"/>
          <w:szCs w:val="16"/>
        </w:rPr>
      </w:pPr>
      <w:r>
        <w:rPr>
          <w:b/>
          <w:bCs/>
          <w:i/>
          <w:iCs/>
          <w:sz w:val="16"/>
          <w:szCs w:val="16"/>
        </w:rPr>
        <w:t>Пропуска вида «Р»</w:t>
      </w:r>
    </w:p>
    <w:p w:rsidR="00AD03E4" w:rsidRDefault="00A44E17">
      <w:pPr>
        <w:tabs>
          <w:tab w:val="left" w:pos="426"/>
        </w:tabs>
        <w:ind w:left="0" w:hanging="2"/>
        <w:jc w:val="center"/>
        <w:rPr>
          <w:b/>
          <w:bCs/>
          <w:i/>
          <w:iCs/>
          <w:sz w:val="16"/>
          <w:szCs w:val="16"/>
        </w:rPr>
      </w:pPr>
      <w:r>
        <w:rPr>
          <w:b/>
          <w:bCs/>
          <w:i/>
          <w:iCs/>
          <w:sz w:val="16"/>
          <w:szCs w:val="16"/>
        </w:rPr>
        <w:t>Разовые пропуска</w:t>
      </w:r>
    </w:p>
    <w:p w:rsidR="00AD03E4" w:rsidRDefault="00AD03E4">
      <w:pPr>
        <w:tabs>
          <w:tab w:val="left" w:pos="426"/>
        </w:tabs>
        <w:ind w:left="0" w:hanging="2"/>
        <w:jc w:val="both"/>
        <w:rPr>
          <w:b/>
          <w:bCs/>
          <w:i/>
          <w:iCs/>
          <w:sz w:val="16"/>
          <w:szCs w:val="16"/>
        </w:rPr>
      </w:pPr>
    </w:p>
    <w:p w:rsidR="00AD03E4" w:rsidRDefault="00A44E17">
      <w:pPr>
        <w:tabs>
          <w:tab w:val="left" w:pos="426"/>
        </w:tabs>
        <w:ind w:left="0" w:hanging="2"/>
        <w:jc w:val="both"/>
        <w:rPr>
          <w:sz w:val="16"/>
          <w:szCs w:val="16"/>
        </w:rPr>
      </w:pPr>
      <w:r>
        <w:rPr>
          <w:sz w:val="16"/>
          <w:szCs w:val="16"/>
        </w:rPr>
        <w:t>2.6.3</w:t>
      </w:r>
      <w:proofErr w:type="gramStart"/>
      <w:r>
        <w:rPr>
          <w:sz w:val="16"/>
          <w:szCs w:val="16"/>
        </w:rPr>
        <w:t xml:space="preserve"> В</w:t>
      </w:r>
      <w:proofErr w:type="gramEnd"/>
      <w:r>
        <w:rPr>
          <w:sz w:val="16"/>
          <w:szCs w:val="16"/>
        </w:rPr>
        <w:t xml:space="preserve">се автомашины, не имеющие пропусков вида «Д» и «В», пропускаются на охраняемую территорию на основании разовых пропусков, </w:t>
      </w:r>
      <w:r>
        <w:rPr>
          <w:b/>
          <w:bCs/>
          <w:sz w:val="16"/>
          <w:szCs w:val="16"/>
        </w:rPr>
        <w:t>выдаваемых непосредственно на КПП</w:t>
      </w:r>
      <w:r>
        <w:rPr>
          <w:b/>
          <w:bCs/>
          <w:sz w:val="16"/>
          <w:szCs w:val="16"/>
        </w:rPr>
        <w:t xml:space="preserve"> при въезде и изымаемых при выезде</w:t>
      </w:r>
      <w:r>
        <w:rPr>
          <w:sz w:val="16"/>
          <w:szCs w:val="16"/>
        </w:rPr>
        <w:t>. Пропуска вида «Р»  выдаются по разовой письменной (в свободной форме) или устной (по телефону) заявке Владельца. В случае телефонного звонка от Владельца с просьбой пропустить автомобиль охранник обязан перезвонить по те</w:t>
      </w:r>
      <w:r>
        <w:rPr>
          <w:sz w:val="16"/>
          <w:szCs w:val="16"/>
        </w:rPr>
        <w:t>лефону, указанному в списке, имеющемся на КПП, и подтвердить у Владельца право на пропуск автомобиля. Эта мера должна исключить возможность звонка на охрану от лиц, неправомерно выдающих себя за Владельца.</w:t>
      </w:r>
    </w:p>
    <w:p w:rsidR="00AD03E4" w:rsidRDefault="00A44E17">
      <w:pPr>
        <w:tabs>
          <w:tab w:val="left" w:pos="426"/>
        </w:tabs>
        <w:ind w:left="0" w:hanging="2"/>
        <w:jc w:val="both"/>
        <w:rPr>
          <w:sz w:val="16"/>
          <w:szCs w:val="16"/>
        </w:rPr>
      </w:pPr>
      <w:r>
        <w:rPr>
          <w:sz w:val="16"/>
          <w:szCs w:val="16"/>
        </w:rPr>
        <w:t xml:space="preserve">Условие пропуска на территорию поселка на </w:t>
      </w:r>
      <w:r>
        <w:rPr>
          <w:b/>
          <w:bCs/>
          <w:sz w:val="16"/>
          <w:szCs w:val="16"/>
        </w:rPr>
        <w:t>легковом</w:t>
      </w:r>
      <w:r>
        <w:rPr>
          <w:b/>
          <w:bCs/>
          <w:sz w:val="16"/>
          <w:szCs w:val="16"/>
        </w:rPr>
        <w:t xml:space="preserve"> автомобиле </w:t>
      </w:r>
      <w:r>
        <w:rPr>
          <w:sz w:val="16"/>
          <w:szCs w:val="16"/>
        </w:rPr>
        <w:t>– указание в заявке фамилии заявителя, государственного номера, марки машины и номера Индивидуального участка, куда следует автомобиль.</w:t>
      </w:r>
    </w:p>
    <w:p w:rsidR="00AD03E4" w:rsidRDefault="00A44E17">
      <w:pPr>
        <w:tabs>
          <w:tab w:val="left" w:pos="426"/>
        </w:tabs>
        <w:ind w:left="0" w:hanging="2"/>
        <w:jc w:val="both"/>
        <w:rPr>
          <w:sz w:val="16"/>
          <w:szCs w:val="16"/>
        </w:rPr>
      </w:pPr>
      <w:r>
        <w:rPr>
          <w:sz w:val="16"/>
          <w:szCs w:val="16"/>
        </w:rPr>
        <w:t>Допускается оформление заявок на разовые пропуска в виде списка лиц с учетом вышеперечисленных требований.</w:t>
      </w:r>
    </w:p>
    <w:p w:rsidR="00AD03E4" w:rsidRDefault="00A44E17">
      <w:pPr>
        <w:tabs>
          <w:tab w:val="left" w:pos="426"/>
        </w:tabs>
        <w:ind w:left="0" w:hanging="2"/>
        <w:jc w:val="both"/>
        <w:rPr>
          <w:color w:val="000000"/>
          <w:sz w:val="16"/>
          <w:szCs w:val="16"/>
        </w:rPr>
      </w:pPr>
      <w:r>
        <w:rPr>
          <w:sz w:val="16"/>
          <w:szCs w:val="16"/>
        </w:rPr>
        <w:t>Л</w:t>
      </w:r>
      <w:r>
        <w:rPr>
          <w:sz w:val="16"/>
          <w:szCs w:val="16"/>
        </w:rPr>
        <w:t xml:space="preserve">егковые автомобили, получившие пропуск вида «Р» могут находиться на территории Поселка не больше трех суток. В ином случае Владелец или лицо, действующее от его имени по </w:t>
      </w:r>
      <w:r>
        <w:rPr>
          <w:color w:val="000000" w:themeColor="text1"/>
          <w:sz w:val="16"/>
          <w:szCs w:val="16"/>
        </w:rPr>
        <w:t>доверенности должно оформить пропуск вида «В» или направить заявление (письменное, уст</w:t>
      </w:r>
      <w:r>
        <w:rPr>
          <w:color w:val="000000" w:themeColor="text1"/>
          <w:sz w:val="16"/>
          <w:szCs w:val="16"/>
        </w:rPr>
        <w:t xml:space="preserve">ное) о продлении срока пребывания легкового автомобиля на аналогичный срок. </w:t>
      </w:r>
    </w:p>
    <w:p w:rsidR="00AD03E4" w:rsidRDefault="00A44E17">
      <w:pPr>
        <w:tabs>
          <w:tab w:val="left" w:pos="426"/>
        </w:tabs>
        <w:ind w:left="0" w:hanging="2"/>
        <w:jc w:val="both"/>
        <w:rPr>
          <w:color w:val="000000"/>
          <w:sz w:val="16"/>
          <w:szCs w:val="16"/>
        </w:rPr>
      </w:pPr>
      <w:r>
        <w:rPr>
          <w:color w:val="000000" w:themeColor="text1"/>
          <w:sz w:val="16"/>
          <w:szCs w:val="16"/>
        </w:rPr>
        <w:t>Гости Владельцев, имеющих задолженность перед СК, на территорию поселка не пропускаются.</w:t>
      </w:r>
    </w:p>
    <w:p w:rsidR="00AD03E4" w:rsidRDefault="00AD03E4">
      <w:pPr>
        <w:tabs>
          <w:tab w:val="left" w:pos="426"/>
        </w:tabs>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2.7 Заявки на все пропуска подает Владелец или лицо, действующее от его имени по доверенности, заверенной нотариально либо по форме СК.</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 Проезд грузового транспорта: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2.8.1. Проезд грузового транспорта возможен исключительно после получения телефонной заявки от владельца участка на проезд автомобиля. Заявку необходимо оставить не позднее, чем за 1 час до прибытия автомобиля в поселок. В заявке указать номер участка, на </w:t>
      </w:r>
      <w:r>
        <w:rPr>
          <w:color w:val="000000" w:themeColor="text1"/>
          <w:sz w:val="16"/>
          <w:szCs w:val="16"/>
        </w:rPr>
        <w:t>который проезжает автомобиль, номер договора с Сервисной компанией, марку и гос. номер автомобиля.</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r>
        <w:rPr>
          <w:sz w:val="16"/>
          <w:szCs w:val="16"/>
        </w:rPr>
        <w:t xml:space="preserve">2.8.2. </w:t>
      </w:r>
      <w:proofErr w:type="gramStart"/>
      <w:r>
        <w:rPr>
          <w:sz w:val="16"/>
          <w:szCs w:val="16"/>
        </w:rPr>
        <w:t>На территорию Поселка разрешен въезд грузового автотранспорта и строительной техники при  температуре менее + 28</w:t>
      </w:r>
      <w:r>
        <w:rPr>
          <w:sz w:val="16"/>
          <w:szCs w:val="16"/>
          <w:vertAlign w:val="superscript"/>
        </w:rPr>
        <w:t>0</w:t>
      </w:r>
      <w:r>
        <w:rPr>
          <w:sz w:val="16"/>
          <w:szCs w:val="16"/>
        </w:rPr>
        <w:t>С с разрешенной нагрузкой на ось не б</w:t>
      </w:r>
      <w:r>
        <w:rPr>
          <w:sz w:val="16"/>
          <w:szCs w:val="16"/>
        </w:rPr>
        <w:t>олее 5 т., шириной не более 2,7 м и общей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порядке по письменному заявлению Владельца.</w:t>
      </w:r>
      <w:proofErr w:type="gramEnd"/>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D03E4">
        <w:tc>
          <w:tcPr>
            <w:tcW w:w="0" w:type="auto"/>
            <w:shd w:val="clear" w:color="auto" w:fill="FFFFFF"/>
            <w:vAlign w:val="center"/>
          </w:tcPr>
          <w:p w:rsidR="00AD03E4" w:rsidRDefault="00A44E17">
            <w:pPr>
              <w:spacing w:before="100" w:beforeAutospacing="1" w:after="100" w:afterAutospacing="1" w:line="240" w:lineRule="auto"/>
              <w:ind w:left="0" w:hanging="2"/>
              <w:outlineLvl w:val="9"/>
              <w:rPr>
                <w:position w:val="0"/>
                <w:sz w:val="16"/>
                <w:szCs w:val="16"/>
              </w:rPr>
            </w:pPr>
            <w:r>
              <w:rPr>
                <w:position w:val="0"/>
                <w:sz w:val="16"/>
                <w:szCs w:val="16"/>
              </w:rPr>
              <w:t>Данные</w:t>
            </w:r>
            <w:r>
              <w:rPr>
                <w:position w:val="0"/>
                <w:sz w:val="16"/>
                <w:szCs w:val="16"/>
              </w:rPr>
              <w:t xml:space="preserve"> ограничения позволяют въезд:</w:t>
            </w:r>
          </w:p>
        </w:tc>
      </w:tr>
      <w:tr w:rsidR="00AD03E4">
        <w:tc>
          <w:tcPr>
            <w:tcW w:w="0" w:type="auto"/>
            <w:shd w:val="clear" w:color="auto" w:fill="FFFFFF"/>
            <w:vAlign w:val="center"/>
          </w:tcPr>
          <w:p w:rsidR="00AD03E4" w:rsidRDefault="00A44E17">
            <w:pPr>
              <w:numPr>
                <w:ilvl w:val="0"/>
                <w:numId w:val="1"/>
              </w:numPr>
              <w:spacing w:before="100" w:beforeAutospacing="1" w:after="100" w:afterAutospacing="1" w:line="240" w:lineRule="auto"/>
              <w:outlineLvl w:val="9"/>
              <w:rPr>
                <w:position w:val="0"/>
                <w:sz w:val="16"/>
                <w:szCs w:val="16"/>
              </w:rPr>
            </w:pPr>
            <w:r>
              <w:rPr>
                <w:position w:val="0"/>
                <w:sz w:val="16"/>
                <w:szCs w:val="16"/>
              </w:rPr>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rsidR="00AD03E4" w:rsidRDefault="00A44E17">
            <w:pPr>
              <w:numPr>
                <w:ilvl w:val="0"/>
                <w:numId w:val="1"/>
              </w:numPr>
              <w:spacing w:before="100" w:beforeAutospacing="1" w:after="100" w:afterAutospacing="1" w:line="240" w:lineRule="auto"/>
              <w:outlineLvl w:val="9"/>
              <w:rPr>
                <w:position w:val="0"/>
                <w:sz w:val="16"/>
                <w:szCs w:val="16"/>
              </w:rPr>
            </w:pPr>
            <w:proofErr w:type="spellStart"/>
            <w:r>
              <w:rPr>
                <w:position w:val="0"/>
                <w:sz w:val="16"/>
                <w:szCs w:val="16"/>
              </w:rPr>
              <w:t>Автобетоносмесителям</w:t>
            </w:r>
            <w:proofErr w:type="spellEnd"/>
            <w:r>
              <w:rPr>
                <w:position w:val="0"/>
                <w:sz w:val="16"/>
                <w:szCs w:val="16"/>
              </w:rPr>
              <w:t xml:space="preserve">, </w:t>
            </w:r>
            <w:proofErr w:type="gramStart"/>
            <w:r>
              <w:rPr>
                <w:position w:val="0"/>
                <w:sz w:val="16"/>
                <w:szCs w:val="16"/>
              </w:rPr>
              <w:t>провоз</w:t>
            </w:r>
            <w:r>
              <w:rPr>
                <w:position w:val="0"/>
                <w:sz w:val="16"/>
                <w:szCs w:val="16"/>
              </w:rPr>
              <w:t>ящим</w:t>
            </w:r>
            <w:proofErr w:type="gramEnd"/>
            <w:r>
              <w:rPr>
                <w:position w:val="0"/>
                <w:sz w:val="16"/>
                <w:szCs w:val="16"/>
              </w:rPr>
              <w:t xml:space="preserve"> объем не более 5 м3 бетона (также требуется предъявление транспортной накладной).</w:t>
            </w:r>
          </w:p>
        </w:tc>
      </w:tr>
    </w:tbl>
    <w:p w:rsidR="00AD03E4" w:rsidRDefault="00AD03E4">
      <w:pPr>
        <w:spacing w:line="240" w:lineRule="auto"/>
        <w:ind w:left="0" w:firstLine="0"/>
        <w:outlineLvl w:val="9"/>
        <w:rPr>
          <w:vanish/>
          <w:position w:val="0"/>
        </w:rPr>
      </w:pPr>
    </w:p>
    <w:tbl>
      <w:tblPr>
        <w:tblW w:w="10350" w:type="dxa"/>
        <w:tblBorders>
          <w:bottom w:val="single" w:sz="18" w:space="0" w:color="B5C5CE"/>
        </w:tblBorders>
        <w:shd w:val="clear" w:color="auto" w:fill="FFFFFF"/>
        <w:tblCellMar>
          <w:left w:w="0" w:type="dxa"/>
          <w:right w:w="0" w:type="dxa"/>
        </w:tblCellMar>
        <w:tblLook w:val="04A0" w:firstRow="1" w:lastRow="0" w:firstColumn="1" w:lastColumn="0" w:noHBand="0" w:noVBand="1"/>
      </w:tblPr>
      <w:tblGrid>
        <w:gridCol w:w="10350"/>
      </w:tblGrid>
      <w:tr w:rsidR="00AD03E4">
        <w:tc>
          <w:tcPr>
            <w:tcW w:w="0" w:type="auto"/>
            <w:shd w:val="clear" w:color="auto" w:fill="FFFFFF"/>
            <w:vAlign w:val="center"/>
          </w:tcPr>
          <w:p w:rsidR="00AD03E4" w:rsidRDefault="00A44E17">
            <w:pPr>
              <w:spacing w:before="100" w:beforeAutospacing="1" w:after="100" w:afterAutospacing="1" w:line="240" w:lineRule="auto"/>
              <w:ind w:left="0" w:firstLine="0"/>
              <w:outlineLvl w:val="9"/>
              <w:rPr>
                <w:position w:val="0"/>
                <w:sz w:val="16"/>
                <w:szCs w:val="16"/>
              </w:rPr>
            </w:pPr>
            <w:r>
              <w:rPr>
                <w:b/>
                <w:bCs/>
                <w:position w:val="0"/>
                <w:sz w:val="16"/>
                <w:szCs w:val="16"/>
              </w:rPr>
              <w:t>ВАЖНО!</w:t>
            </w:r>
            <w:r>
              <w:rPr>
                <w:position w:val="0"/>
                <w:sz w:val="16"/>
                <w:szCs w:val="16"/>
              </w:rPr>
              <w:t>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w:t>
            </w:r>
            <w:r>
              <w:rPr>
                <w:position w:val="0"/>
                <w:sz w:val="16"/>
                <w:szCs w:val="16"/>
              </w:rPr>
              <w:t xml:space="preserve">ак как разгрузка с </w:t>
            </w:r>
            <w:proofErr w:type="spellStart"/>
            <w:r>
              <w:rPr>
                <w:position w:val="0"/>
                <w:sz w:val="16"/>
                <w:szCs w:val="16"/>
              </w:rPr>
              <w:t>внутрипоселковых</w:t>
            </w:r>
            <w:proofErr w:type="spellEnd"/>
            <w:r>
              <w:rPr>
                <w:position w:val="0"/>
                <w:sz w:val="16"/>
                <w:szCs w:val="16"/>
              </w:rPr>
              <w:t xml:space="preserve"> проездов запрещена.</w:t>
            </w:r>
          </w:p>
        </w:tc>
      </w:tr>
    </w:tbl>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2.8.3.</w:t>
      </w:r>
      <w:r>
        <w:rPr>
          <w:color w:val="000000" w:themeColor="text1"/>
        </w:rPr>
        <w:t xml:space="preserve"> </w:t>
      </w:r>
      <w:r>
        <w:rPr>
          <w:color w:val="000000" w:themeColor="text1"/>
          <w:sz w:val="16"/>
          <w:szCs w:val="16"/>
        </w:rPr>
        <w:t>Все автомобили, въезжающие на территорию поселка по телефонной заявке, регистрируются охранником в журнале.</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2.8.4. Въезд грузового автотранспорта и строительной техники на территорию поселка в будние дни с 21:00 до 8:00 часов и в выходные дни с 22.00 до 10.00 запрещен.</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2.8.5. В период просушки дорог вводится временное ограничение движения транспортных сре</w:t>
      </w:r>
      <w:proofErr w:type="gramStart"/>
      <w:r>
        <w:rPr>
          <w:color w:val="000000" w:themeColor="text1"/>
          <w:sz w:val="16"/>
          <w:szCs w:val="16"/>
        </w:rPr>
        <w:t xml:space="preserve">дств с </w:t>
      </w:r>
      <w:r>
        <w:rPr>
          <w:color w:val="000000" w:themeColor="text1"/>
          <w:sz w:val="16"/>
          <w:szCs w:val="16"/>
        </w:rPr>
        <w:t>гр</w:t>
      </w:r>
      <w:proofErr w:type="gramEnd"/>
      <w:r>
        <w:rPr>
          <w:color w:val="000000" w:themeColor="text1"/>
          <w:sz w:val="16"/>
          <w:szCs w:val="16"/>
        </w:rPr>
        <w:t>узом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2.9. </w:t>
      </w:r>
      <w:r>
        <w:rPr>
          <w:color w:val="000000"/>
          <w:sz w:val="16"/>
          <w:szCs w:val="16"/>
        </w:rPr>
        <w:t>Допуск должностных лиц, которым по роду своей деятельнос</w:t>
      </w:r>
      <w:r>
        <w:rPr>
          <w:color w:val="000000"/>
          <w:sz w:val="16"/>
          <w:szCs w:val="16"/>
        </w:rPr>
        <w:t>ти определено посещение объектов (помещений) на основании Федеральных законов осуществляется в следующем порядке:</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w:t>
      </w:r>
      <w:r>
        <w:rPr>
          <w:color w:val="000000"/>
          <w:sz w:val="16"/>
          <w:szCs w:val="16"/>
        </w:rPr>
        <w:t>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случае чрезвычайных или аварийных ситуац</w:t>
      </w:r>
      <w:r>
        <w:rPr>
          <w:color w:val="000000"/>
          <w:sz w:val="16"/>
          <w:szCs w:val="16"/>
        </w:rPr>
        <w:t>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должностных лиц правоохранительных и контролирующих органов определяетс</w:t>
      </w:r>
      <w:r>
        <w:rPr>
          <w:color w:val="000000"/>
          <w:sz w:val="16"/>
          <w:szCs w:val="16"/>
        </w:rPr>
        <w:t>я законодательством Российской Федерации и должностной инструкцией по охране поселка, согласованной с руководством сервисной компании.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r>
        <w:rPr>
          <w:color w:val="000000" w:themeColor="text1"/>
          <w:sz w:val="16"/>
          <w:szCs w:val="16"/>
        </w:rPr>
        <w:t xml:space="preserve">2.10. </w:t>
      </w:r>
      <w:r>
        <w:rPr>
          <w:color w:val="000000"/>
          <w:sz w:val="16"/>
          <w:szCs w:val="16"/>
        </w:rPr>
        <w:t>Для организации пропускного режима на КПП должны быть следующие документы:</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список контактных данных (телефонов) в</w:t>
      </w:r>
      <w:r>
        <w:rPr>
          <w:color w:val="000000"/>
          <w:sz w:val="16"/>
          <w:szCs w:val="16"/>
        </w:rPr>
        <w:t>ладельцев, обновляемый еженедельно;</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журнал регистрации въезда/выезда автомобилей;</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список номеров автомобилей ВЗУ, обновляемый еженедельно.</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lastRenderedPageBreak/>
        <w:t>2.11. Лица</w:t>
      </w:r>
      <w:r>
        <w:rPr>
          <w:color w:val="000000"/>
          <w:sz w:val="16"/>
          <w:szCs w:val="16"/>
        </w:rPr>
        <w:t>, находящиеся на территории Поселка, должны соблюдать общественный порядок, санитарно-гигиенические тре</w:t>
      </w:r>
      <w:r>
        <w:rPr>
          <w:color w:val="000000"/>
          <w:sz w:val="16"/>
          <w:szCs w:val="16"/>
        </w:rPr>
        <w:t xml:space="preserve">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2.12. Пр</w:t>
      </w:r>
      <w:r>
        <w:rPr>
          <w:color w:val="000000"/>
          <w:sz w:val="16"/>
          <w:szCs w:val="16"/>
        </w:rPr>
        <w:t>и нарушениях правил, указанных в п.2.17, Сервисная компания вправе аннулировать или приостановить действие выданных пропусков.</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w:t>
      </w:r>
      <w:r>
        <w:rPr>
          <w:color w:val="000000"/>
          <w:sz w:val="16"/>
          <w:szCs w:val="16"/>
        </w:rPr>
        <w:t>тные средства хранятся без ограничения времени на принадлежащих их Владельцам Индивидуальных участках.</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w:t>
      </w:r>
      <w:r>
        <w:rPr>
          <w:color w:val="000000"/>
          <w:sz w:val="16"/>
          <w:szCs w:val="16"/>
        </w:rPr>
        <w:t>лиц так, чтобы они мешали проезду автотранспорта. Допускается парковка перед въездными воротами на Индивидуальные участки.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3.6. Въезд и выезд грузового автотранспорта и спецтехники </w:t>
      </w:r>
      <w:r>
        <w:rPr>
          <w:color w:val="000000" w:themeColor="text1"/>
          <w:sz w:val="16"/>
          <w:szCs w:val="16"/>
        </w:rPr>
        <w:t>на территорию поселка в будние дни с 21:00 до 8:00 часов и в выходные дни с</w:t>
      </w:r>
      <w:r>
        <w:rPr>
          <w:color w:val="000000" w:themeColor="text1"/>
          <w:sz w:val="16"/>
          <w:szCs w:val="16"/>
        </w:rPr>
        <w:t xml:space="preserve"> 22.00 до 10.00 запрещен.</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w:t>
      </w:r>
      <w:r>
        <w:rPr>
          <w:color w:val="000000"/>
          <w:sz w:val="16"/>
          <w:szCs w:val="16"/>
        </w:rPr>
        <w:t>идов транспортных средств со скоростью более 20 км/ч.</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проезда необходимо дождаться проезда стоящего впереди автомобиля и закрытия шлагбаума, подъех</w:t>
      </w:r>
      <w:r>
        <w:rPr>
          <w:color w:val="000000"/>
          <w:sz w:val="16"/>
          <w:szCs w:val="16"/>
        </w:rPr>
        <w:t>ать к стоп линии и после открытия шлагбаума продолжить движение.</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w:t>
      </w:r>
      <w:proofErr w:type="gramStart"/>
      <w:r>
        <w:rPr>
          <w:color w:val="000000" w:themeColor="text1"/>
          <w:sz w:val="16"/>
          <w:szCs w:val="16"/>
        </w:rPr>
        <w:t>На территорию Поселка разрешен въезд грузового автотранспорта и строительной техники при температуре менее + 28</w:t>
      </w:r>
      <w:r>
        <w:rPr>
          <w:color w:val="000000" w:themeColor="text1"/>
          <w:sz w:val="16"/>
          <w:szCs w:val="16"/>
          <w:vertAlign w:val="superscript"/>
        </w:rPr>
        <w:t>0</w:t>
      </w:r>
      <w:r>
        <w:rPr>
          <w:color w:val="000000" w:themeColor="text1"/>
          <w:sz w:val="16"/>
          <w:szCs w:val="16"/>
        </w:rPr>
        <w:t>С с разрешенной нагрузкой на ось не более 5 т, шириной не более 2,7 м и об</w:t>
      </w:r>
      <w:r>
        <w:rPr>
          <w:color w:val="000000" w:themeColor="text1"/>
          <w:sz w:val="16"/>
          <w:szCs w:val="16"/>
        </w:rPr>
        <w:t>щей длиной не более 7,3 м. Въезд автотранспорта и строительной техники, превышающих указанные показатели, подлежит согласованию с Сервисной компанией в индивидуальном порядке по письменному заявлению Владельца.</w:t>
      </w:r>
      <w:proofErr w:type="gramEnd"/>
      <w:r>
        <w:rPr>
          <w:color w:val="000000" w:themeColor="text1"/>
          <w:sz w:val="16"/>
          <w:szCs w:val="16"/>
        </w:rPr>
        <w:t xml:space="preserve"> Письменное заявление необходимо направить на </w:t>
      </w:r>
      <w:r>
        <w:rPr>
          <w:color w:val="000000" w:themeColor="text1"/>
          <w:sz w:val="16"/>
          <w:szCs w:val="16"/>
        </w:rPr>
        <w:t xml:space="preserve">электронную почту </w:t>
      </w:r>
      <w:hyperlink r:id="rId8" w:tooltip="mailto:ob@green-uk.ru" w:history="1">
        <w:r>
          <w:rPr>
            <w:rStyle w:val="aff0"/>
            <w:sz w:val="16"/>
            <w:szCs w:val="16"/>
          </w:rPr>
          <w:t>ob@green-uk.ru</w:t>
        </w:r>
      </w:hyperlink>
      <w:r>
        <w:rPr>
          <w:color w:val="000000" w:themeColor="text1"/>
          <w:sz w:val="16"/>
          <w:szCs w:val="16"/>
        </w:rPr>
        <w:t xml:space="preserve"> не </w:t>
      </w:r>
      <w:proofErr w:type="gramStart"/>
      <w:r>
        <w:rPr>
          <w:color w:val="000000" w:themeColor="text1"/>
          <w:sz w:val="16"/>
          <w:szCs w:val="16"/>
        </w:rPr>
        <w:t>позднее</w:t>
      </w:r>
      <w:proofErr w:type="gramEnd"/>
      <w:r>
        <w:rPr>
          <w:color w:val="000000" w:themeColor="text1"/>
          <w:sz w:val="16"/>
          <w:szCs w:val="16"/>
        </w:rPr>
        <w:t xml:space="preserve"> чем за 2 рабочих дня до даты планируемого проезда. Въезд негабаритной техники может быть разрешен только по 1 единице и после согласования Сервисно</w:t>
      </w:r>
      <w:r>
        <w:rPr>
          <w:color w:val="000000" w:themeColor="text1"/>
          <w:sz w:val="16"/>
          <w:szCs w:val="16"/>
        </w:rPr>
        <w:t>й Компанией возможности ее проезда по территории.</w:t>
      </w:r>
    </w:p>
    <w:p w:rsidR="004E4B91" w:rsidRDefault="004E4B91">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4E4B91">
        <w:rPr>
          <w:color w:val="000000"/>
          <w:sz w:val="16"/>
          <w:szCs w:val="16"/>
        </w:rPr>
        <w:t>4.3</w:t>
      </w:r>
      <w:r>
        <w:rPr>
          <w:color w:val="000000"/>
          <w:sz w:val="16"/>
          <w:szCs w:val="16"/>
        </w:rPr>
        <w:t>.</w:t>
      </w:r>
      <w:r w:rsidRPr="004E4B91">
        <w:rPr>
          <w:color w:val="000000"/>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AD03E4" w:rsidRDefault="004E4B91">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4.4</w:t>
      </w:r>
      <w:r w:rsidR="00A44E17">
        <w:rPr>
          <w:color w:val="000000" w:themeColor="text1"/>
          <w:sz w:val="16"/>
          <w:szCs w:val="16"/>
        </w:rPr>
        <w:t>. Запрещен заезд автотранспорта и строительной техники на обочину.</w:t>
      </w:r>
    </w:p>
    <w:p w:rsidR="00AD03E4" w:rsidRDefault="004E4B91">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4.5</w:t>
      </w:r>
      <w:r w:rsidR="00A44E17">
        <w:rPr>
          <w:color w:val="000000" w:themeColor="text1"/>
          <w:sz w:val="16"/>
          <w:szCs w:val="16"/>
        </w:rPr>
        <w:t>. Запрещается выворот колес двухосного автомобиля в момент отсутствия движения.</w:t>
      </w:r>
    </w:p>
    <w:p w:rsidR="00AD03E4" w:rsidRDefault="004E4B91">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4.6</w:t>
      </w:r>
      <w:r w:rsidR="00A44E17">
        <w:rPr>
          <w:color w:val="000000" w:themeColor="text1"/>
          <w:sz w:val="16"/>
          <w:szCs w:val="16"/>
        </w:rPr>
        <w:t>. В случае нанесения ущерба Объектам инфраструктуры и внутрипоселковым проездам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rsidR="00AD03E4" w:rsidRDefault="004E4B91">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r w:rsidR="00A44E17">
        <w:rPr>
          <w:color w:val="000000" w:themeColor="text1"/>
          <w:sz w:val="16"/>
          <w:szCs w:val="16"/>
        </w:rPr>
        <w:t xml:space="preserve">. </w:t>
      </w:r>
      <w:proofErr w:type="gramStart"/>
      <w:r w:rsidR="00A44E17">
        <w:rPr>
          <w:color w:val="000000" w:themeColor="text1"/>
          <w:sz w:val="16"/>
          <w:szCs w:val="16"/>
        </w:rPr>
        <w:t>В цел</w:t>
      </w:r>
      <w:r w:rsidR="00A44E17">
        <w:rPr>
          <w:color w:val="000000" w:themeColor="text1"/>
          <w:sz w:val="16"/>
          <w:szCs w:val="16"/>
        </w:rPr>
        <w:t xml:space="preserve">ях обеспечения безопасности жителей, проживающих </w:t>
      </w:r>
      <w:r w:rsidR="00A44E17">
        <w:rPr>
          <w:color w:val="000000"/>
          <w:sz w:val="16"/>
          <w:szCs w:val="16"/>
        </w:rPr>
        <w:t>на территории Поселка, комфортабельных условий проживания, сохранности дорожного покрытия (</w:t>
      </w:r>
      <w:proofErr w:type="spellStart"/>
      <w:r w:rsidR="00A44E17">
        <w:rPr>
          <w:color w:val="000000"/>
          <w:sz w:val="16"/>
          <w:szCs w:val="16"/>
        </w:rPr>
        <w:t>внутрипоселковых</w:t>
      </w:r>
      <w:proofErr w:type="spellEnd"/>
      <w:r w:rsidR="00A44E17">
        <w:rPr>
          <w:color w:val="000000"/>
          <w:sz w:val="16"/>
          <w:szCs w:val="16"/>
        </w:rPr>
        <w:t xml:space="preserve"> проездов), инженерных систем, въезд на территорию Поселка и движение по ней могут быть ограничены, </w:t>
      </w:r>
      <w:r w:rsidR="00A44E17">
        <w:rPr>
          <w:color w:val="000000"/>
          <w:sz w:val="16"/>
          <w:szCs w:val="16"/>
        </w:rPr>
        <w:t xml:space="preserve">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w:t>
      </w:r>
      <w:r w:rsidR="00A44E17">
        <w:rPr>
          <w:color w:val="000000"/>
          <w:sz w:val="16"/>
          <w:szCs w:val="16"/>
        </w:rPr>
        <w:t>принимающей</w:t>
      </w:r>
      <w:proofErr w:type="gramEnd"/>
      <w:r w:rsidR="00A44E17">
        <w:rPr>
          <w:color w:val="000000"/>
          <w:sz w:val="16"/>
          <w:szCs w:val="16"/>
        </w:rPr>
        <w:t xml:space="preserve"> стороны (Владельца).</w:t>
      </w:r>
      <w:bookmarkStart w:id="0" w:name="_GoBack"/>
      <w:bookmarkEnd w:id="0"/>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ind w:left="0" w:firstLine="283"/>
        <w:jc w:val="center"/>
        <w:rPr>
          <w:b/>
          <w:color w:val="000000"/>
          <w:sz w:val="16"/>
          <w:szCs w:val="16"/>
        </w:rPr>
      </w:pPr>
      <w:r>
        <w:rPr>
          <w:b/>
          <w:color w:val="000000"/>
          <w:sz w:val="16"/>
          <w:szCs w:val="16"/>
        </w:rPr>
        <w:t>5. Порядок проезда для лиц, не имеющих договорных отношений с СК.</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5.1. Для Пользователей индивидуальных участков, не имеющих договорных отношений с СК, проезд любого вида транспорта осуществляется в присутствии Владельца </w:t>
      </w:r>
      <w:r>
        <w:rPr>
          <w:color w:val="000000"/>
          <w:sz w:val="16"/>
          <w:szCs w:val="16"/>
        </w:rPr>
        <w:t>при предъявлении им документов, подтверждающих право собственности на земельный участок в поселке. Проезд транспорта фиксируется  охранником в журнале движения транспортных средств.</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5.2. Гости Владельцев, машины такси или доставки товаров, приезжающих в КП</w:t>
      </w:r>
      <w:r>
        <w:rPr>
          <w:color w:val="000000"/>
          <w:sz w:val="16"/>
          <w:szCs w:val="16"/>
        </w:rPr>
        <w:t xml:space="preserve"> к Владельцам не имеющих договора с  СК, не допускаются на территорию  поселка на автомобиле. Автомобиль остается на гостевой парковке, Владелец встречает гостей на собственном автомобиле, доставку забирает за территорией КПП, такси ожидает Владельца за те</w:t>
      </w:r>
      <w:r>
        <w:rPr>
          <w:color w:val="000000"/>
          <w:sz w:val="16"/>
          <w:szCs w:val="16"/>
        </w:rPr>
        <w:t xml:space="preserve">рриторией КПП.  </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D03E4" w:rsidRDefault="00AD03E4">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AD03E4" w:rsidRDefault="00A44E17">
      <w:pPr>
        <w:pBdr>
          <w:top w:val="none" w:sz="4" w:space="0" w:color="000000"/>
          <w:left w:val="none" w:sz="4" w:space="0" w:color="000000"/>
          <w:bottom w:val="none" w:sz="4" w:space="0" w:color="000000"/>
          <w:right w:val="none" w:sz="4" w:space="0" w:color="000000"/>
          <w:between w:val="none" w:sz="4" w:space="0" w:color="000000"/>
        </w:pBdr>
        <w:ind w:left="0" w:firstLine="283"/>
        <w:jc w:val="center"/>
        <w:rPr>
          <w:b/>
          <w:bCs/>
          <w:color w:val="000000"/>
          <w:sz w:val="16"/>
          <w:szCs w:val="16"/>
        </w:rPr>
      </w:pPr>
      <w:r>
        <w:rPr>
          <w:b/>
          <w:color w:val="000000"/>
          <w:sz w:val="16"/>
          <w:szCs w:val="16"/>
        </w:rPr>
        <w:t>6.</w:t>
      </w:r>
      <w:r>
        <w:rPr>
          <w:b/>
          <w:bCs/>
          <w:color w:val="000000"/>
          <w:sz w:val="16"/>
          <w:szCs w:val="16"/>
        </w:rPr>
        <w:t xml:space="preserve"> Ответственность за нарушение настоящего Регламента.</w:t>
      </w:r>
      <w:r>
        <w:rPr>
          <w:color w:val="000000"/>
          <w:sz w:val="16"/>
          <w:szCs w:val="16"/>
        </w:rPr>
        <w:br/>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В случае нарушения требований, установленных Регламентом, СК вправе требовать и/или:</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создает угрозу жизни и здоровью других владельцев, а так же в с</w:t>
      </w:r>
      <w:r>
        <w:rPr>
          <w:color w:val="000000"/>
          <w:sz w:val="16"/>
          <w:szCs w:val="16"/>
        </w:rPr>
        <w:t>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color w:val="000000"/>
          <w:sz w:val="16"/>
          <w:szCs w:val="16"/>
        </w:rPr>
        <w:t>- уплаты в СК штрафа в размере, установленном Регламентом за допущенное нарушение: за первич</w:t>
      </w:r>
      <w:r>
        <w:rPr>
          <w:color w:val="000000"/>
          <w:sz w:val="16"/>
          <w:szCs w:val="16"/>
        </w:rPr>
        <w:t>ное нарушение – предупреждение;</w:t>
      </w:r>
      <w:proofErr w:type="gramEnd"/>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100 МРОТ;</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AD03E4" w:rsidRDefault="00A44E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Контроль над соблюдением Регламента осуществляет СК или уполномоченные </w:t>
      </w:r>
      <w:r>
        <w:rPr>
          <w:color w:val="000000"/>
          <w:sz w:val="16"/>
          <w:szCs w:val="16"/>
        </w:rPr>
        <w:t>ей лица.</w:t>
      </w:r>
    </w:p>
    <w:p w:rsidR="00AD03E4" w:rsidRDefault="00AD03E4">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AD03E4">
      <w:pgSz w:w="11906" w:h="16838"/>
      <w:pgMar w:top="709" w:right="991" w:bottom="284"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17" w:rsidRDefault="00A44E17">
      <w:pPr>
        <w:spacing w:line="240" w:lineRule="auto"/>
      </w:pPr>
      <w:r>
        <w:separator/>
      </w:r>
    </w:p>
  </w:endnote>
  <w:endnote w:type="continuationSeparator" w:id="0">
    <w:p w:rsidR="00A44E17" w:rsidRDefault="00A44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17" w:rsidRDefault="00A44E17">
      <w:pPr>
        <w:spacing w:line="240" w:lineRule="auto"/>
      </w:pPr>
      <w:r>
        <w:separator/>
      </w:r>
    </w:p>
  </w:footnote>
  <w:footnote w:type="continuationSeparator" w:id="0">
    <w:p w:rsidR="00A44E17" w:rsidRDefault="00A44E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5AD2"/>
    <w:multiLevelType w:val="hybridMultilevel"/>
    <w:tmpl w:val="D52235C6"/>
    <w:lvl w:ilvl="0" w:tplc="3E54A5F2">
      <w:start w:val="1"/>
      <w:numFmt w:val="bullet"/>
      <w:lvlText w:val=""/>
      <w:lvlJc w:val="left"/>
      <w:pPr>
        <w:tabs>
          <w:tab w:val="num" w:pos="720"/>
        </w:tabs>
        <w:ind w:left="720" w:hanging="360"/>
      </w:pPr>
      <w:rPr>
        <w:rFonts w:ascii="Symbol" w:hAnsi="Symbol" w:hint="default"/>
        <w:sz w:val="20"/>
      </w:rPr>
    </w:lvl>
    <w:lvl w:ilvl="1" w:tplc="D36459D6">
      <w:start w:val="1"/>
      <w:numFmt w:val="bullet"/>
      <w:lvlText w:val="o"/>
      <w:lvlJc w:val="left"/>
      <w:pPr>
        <w:tabs>
          <w:tab w:val="num" w:pos="1440"/>
        </w:tabs>
        <w:ind w:left="1440" w:hanging="360"/>
      </w:pPr>
      <w:rPr>
        <w:rFonts w:ascii="Courier New" w:hAnsi="Courier New" w:hint="default"/>
        <w:sz w:val="20"/>
      </w:rPr>
    </w:lvl>
    <w:lvl w:ilvl="2" w:tplc="BD96A98C">
      <w:start w:val="1"/>
      <w:numFmt w:val="bullet"/>
      <w:lvlText w:val=""/>
      <w:lvlJc w:val="left"/>
      <w:pPr>
        <w:tabs>
          <w:tab w:val="num" w:pos="2160"/>
        </w:tabs>
        <w:ind w:left="2160" w:hanging="360"/>
      </w:pPr>
      <w:rPr>
        <w:rFonts w:ascii="Wingdings" w:hAnsi="Wingdings" w:hint="default"/>
        <w:sz w:val="20"/>
      </w:rPr>
    </w:lvl>
    <w:lvl w:ilvl="3" w:tplc="DC5EB088">
      <w:start w:val="1"/>
      <w:numFmt w:val="bullet"/>
      <w:lvlText w:val=""/>
      <w:lvlJc w:val="left"/>
      <w:pPr>
        <w:tabs>
          <w:tab w:val="num" w:pos="2880"/>
        </w:tabs>
        <w:ind w:left="2880" w:hanging="360"/>
      </w:pPr>
      <w:rPr>
        <w:rFonts w:ascii="Wingdings" w:hAnsi="Wingdings" w:hint="default"/>
        <w:sz w:val="20"/>
      </w:rPr>
    </w:lvl>
    <w:lvl w:ilvl="4" w:tplc="C010ABDE">
      <w:start w:val="1"/>
      <w:numFmt w:val="bullet"/>
      <w:lvlText w:val=""/>
      <w:lvlJc w:val="left"/>
      <w:pPr>
        <w:tabs>
          <w:tab w:val="num" w:pos="3600"/>
        </w:tabs>
        <w:ind w:left="3600" w:hanging="360"/>
      </w:pPr>
      <w:rPr>
        <w:rFonts w:ascii="Wingdings" w:hAnsi="Wingdings" w:hint="default"/>
        <w:sz w:val="20"/>
      </w:rPr>
    </w:lvl>
    <w:lvl w:ilvl="5" w:tplc="001A232A">
      <w:start w:val="1"/>
      <w:numFmt w:val="bullet"/>
      <w:lvlText w:val=""/>
      <w:lvlJc w:val="left"/>
      <w:pPr>
        <w:tabs>
          <w:tab w:val="num" w:pos="4320"/>
        </w:tabs>
        <w:ind w:left="4320" w:hanging="360"/>
      </w:pPr>
      <w:rPr>
        <w:rFonts w:ascii="Wingdings" w:hAnsi="Wingdings" w:hint="default"/>
        <w:sz w:val="20"/>
      </w:rPr>
    </w:lvl>
    <w:lvl w:ilvl="6" w:tplc="7F76319E">
      <w:start w:val="1"/>
      <w:numFmt w:val="bullet"/>
      <w:lvlText w:val=""/>
      <w:lvlJc w:val="left"/>
      <w:pPr>
        <w:tabs>
          <w:tab w:val="num" w:pos="5040"/>
        </w:tabs>
        <w:ind w:left="5040" w:hanging="360"/>
      </w:pPr>
      <w:rPr>
        <w:rFonts w:ascii="Wingdings" w:hAnsi="Wingdings" w:hint="default"/>
        <w:sz w:val="20"/>
      </w:rPr>
    </w:lvl>
    <w:lvl w:ilvl="7" w:tplc="F90E4DC2">
      <w:start w:val="1"/>
      <w:numFmt w:val="bullet"/>
      <w:lvlText w:val=""/>
      <w:lvlJc w:val="left"/>
      <w:pPr>
        <w:tabs>
          <w:tab w:val="num" w:pos="5760"/>
        </w:tabs>
        <w:ind w:left="5760" w:hanging="360"/>
      </w:pPr>
      <w:rPr>
        <w:rFonts w:ascii="Wingdings" w:hAnsi="Wingdings" w:hint="default"/>
        <w:sz w:val="20"/>
      </w:rPr>
    </w:lvl>
    <w:lvl w:ilvl="8" w:tplc="80D60C02">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E4"/>
    <w:rsid w:val="004E4B91"/>
    <w:rsid w:val="00A44E17"/>
    <w:rsid w:val="00AD0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green-u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2970</Words>
  <Characters>16933</Characters>
  <Application>Microsoft Office Word</Application>
  <DocSecurity>0</DocSecurity>
  <Lines>141</Lines>
  <Paragraphs>39</Paragraphs>
  <ScaleCrop>false</ScaleCrop>
  <Company>SPecialiST RePack, SanBuild</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7</cp:revision>
  <dcterms:created xsi:type="dcterms:W3CDTF">2024-05-21T09:28:00Z</dcterms:created>
  <dcterms:modified xsi:type="dcterms:W3CDTF">2024-12-03T06:50:00Z</dcterms:modified>
</cp:coreProperties>
</file>